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5D06" w14:textId="39243670" w:rsidR="000267C8" w:rsidRPr="00684026" w:rsidRDefault="00213A84" w:rsidP="00684026">
      <w:pPr>
        <w:pStyle w:val="01h1"/>
        <w:jc w:val="right"/>
        <w:rPr>
          <w:sz w:val="22"/>
          <w:szCs w:val="22"/>
        </w:rPr>
      </w:pPr>
      <w:r w:rsidRPr="00684026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A8EAC3E" wp14:editId="5CD0E873">
            <wp:simplePos x="0" y="0"/>
            <wp:positionH relativeFrom="page">
              <wp:posOffset>122555</wp:posOffset>
            </wp:positionH>
            <wp:positionV relativeFrom="page">
              <wp:posOffset>245110</wp:posOffset>
            </wp:positionV>
            <wp:extent cx="2494800" cy="637200"/>
            <wp:effectExtent l="0" t="0" r="0" b="0"/>
            <wp:wrapNone/>
            <wp:docPr id="4" name="Grafický 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8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F9B" w:rsidRPr="00684026">
        <w:rPr>
          <w:sz w:val="22"/>
          <w:szCs w:val="22"/>
        </w:rPr>
        <w:t>Příloha</w:t>
      </w:r>
      <w:r w:rsidRPr="00684026">
        <w:rPr>
          <w:sz w:val="22"/>
          <w:szCs w:val="22"/>
        </w:rPr>
        <w:t xml:space="preserve"> </w:t>
      </w:r>
      <w:r w:rsidR="005D5F9B" w:rsidRPr="00684026">
        <w:rPr>
          <w:sz w:val="22"/>
          <w:szCs w:val="22"/>
        </w:rPr>
        <w:t>č.</w:t>
      </w:r>
      <w:r w:rsidRPr="00684026">
        <w:rPr>
          <w:sz w:val="22"/>
          <w:szCs w:val="22"/>
        </w:rPr>
        <w:t xml:space="preserve"> </w:t>
      </w:r>
      <w:r w:rsidR="005D5F9B" w:rsidRPr="00684026">
        <w:rPr>
          <w:sz w:val="22"/>
          <w:szCs w:val="22"/>
        </w:rPr>
        <w:t>2</w:t>
      </w:r>
    </w:p>
    <w:p w14:paraId="58E9BA0C" w14:textId="77777777" w:rsidR="000D20F5" w:rsidRDefault="000D20F5" w:rsidP="000267C8">
      <w:pPr>
        <w:pStyle w:val="00titulek"/>
        <w:rPr>
          <w:sz w:val="40"/>
          <w:szCs w:val="40"/>
        </w:rPr>
      </w:pPr>
    </w:p>
    <w:p w14:paraId="0DF12DB2" w14:textId="3CFD3512" w:rsidR="00DA6DB2" w:rsidRDefault="005D5F9B" w:rsidP="000267C8">
      <w:pPr>
        <w:pStyle w:val="00titulek"/>
        <w:rPr>
          <w:sz w:val="40"/>
          <w:szCs w:val="40"/>
        </w:rPr>
      </w:pPr>
      <w:r w:rsidRPr="000D20F5">
        <w:rPr>
          <w:sz w:val="40"/>
          <w:szCs w:val="40"/>
        </w:rPr>
        <w:t>Vzor</w:t>
      </w:r>
      <w:r w:rsidR="00213A84" w:rsidRPr="000D20F5">
        <w:rPr>
          <w:sz w:val="40"/>
          <w:szCs w:val="40"/>
        </w:rPr>
        <w:t xml:space="preserve"> </w:t>
      </w:r>
      <w:r w:rsidRPr="000D20F5">
        <w:rPr>
          <w:sz w:val="40"/>
          <w:szCs w:val="40"/>
        </w:rPr>
        <w:t>rozpočtu</w:t>
      </w:r>
      <w:r w:rsidR="00213A84" w:rsidRPr="000D20F5">
        <w:rPr>
          <w:sz w:val="40"/>
          <w:szCs w:val="40"/>
        </w:rPr>
        <w:t xml:space="preserve"> </w:t>
      </w:r>
      <w:r w:rsidRPr="000D20F5">
        <w:rPr>
          <w:sz w:val="40"/>
          <w:szCs w:val="40"/>
        </w:rPr>
        <w:t>interní</w:t>
      </w:r>
      <w:r w:rsidR="00213A84" w:rsidRPr="000D20F5">
        <w:rPr>
          <w:sz w:val="40"/>
          <w:szCs w:val="40"/>
        </w:rPr>
        <w:t xml:space="preserve"> </w:t>
      </w:r>
      <w:r w:rsidRPr="000D20F5">
        <w:rPr>
          <w:sz w:val="40"/>
          <w:szCs w:val="40"/>
        </w:rPr>
        <w:t>podpory</w:t>
      </w:r>
    </w:p>
    <w:p w14:paraId="74BBB640" w14:textId="77777777" w:rsidR="000D20F5" w:rsidRDefault="000D20F5" w:rsidP="000D20F5"/>
    <w:p w14:paraId="523B035F" w14:textId="77777777" w:rsidR="000D20F5" w:rsidRPr="000D20F5" w:rsidRDefault="000D20F5" w:rsidP="000D20F5"/>
    <w:p w14:paraId="0DF12DB3" w14:textId="4C11B8D5" w:rsidR="00DA6DB2" w:rsidRDefault="005D5F9B" w:rsidP="005C08BA">
      <w:pPr>
        <w:pStyle w:val="02text"/>
        <w:tabs>
          <w:tab w:val="right" w:leader="dot" w:pos="9070"/>
        </w:tabs>
      </w:pPr>
      <w:r>
        <w:t>Název</w:t>
      </w:r>
      <w:r w:rsidR="00213A84">
        <w:t xml:space="preserve"> </w:t>
      </w:r>
      <w:r>
        <w:t>projektu:</w:t>
      </w:r>
      <w:r w:rsidR="00213A84">
        <w:t xml:space="preserve"> </w:t>
      </w:r>
      <w:r w:rsidR="005C08BA">
        <w:tab/>
      </w:r>
    </w:p>
    <w:p w14:paraId="0DF12DB4" w14:textId="158983D6" w:rsidR="00DA6DB2" w:rsidRDefault="005D5F9B" w:rsidP="005C08BA">
      <w:pPr>
        <w:pStyle w:val="02text"/>
        <w:tabs>
          <w:tab w:val="right" w:leader="dot" w:pos="9070"/>
        </w:tabs>
      </w:pPr>
      <w:r>
        <w:t>Řešitel:</w:t>
      </w:r>
      <w:r w:rsidR="00213A84">
        <w:t xml:space="preserve"> </w:t>
      </w:r>
      <w:r w:rsidR="005C08BA">
        <w:tab/>
      </w:r>
    </w:p>
    <w:p w14:paraId="0DF12DB5" w14:textId="7FF7782D" w:rsidR="00DA6DB2" w:rsidRDefault="005D5F9B" w:rsidP="005C08BA">
      <w:pPr>
        <w:pStyle w:val="02text"/>
        <w:tabs>
          <w:tab w:val="right" w:leader="dot" w:pos="9070"/>
        </w:tabs>
      </w:pPr>
      <w:r>
        <w:t>Celková</w:t>
      </w:r>
      <w:r w:rsidR="00213A84">
        <w:t xml:space="preserve"> </w:t>
      </w:r>
      <w:r>
        <w:t>požadovaná</w:t>
      </w:r>
      <w:r w:rsidR="00213A84">
        <w:t xml:space="preserve"> </w:t>
      </w:r>
      <w:r>
        <w:t>podpora:</w:t>
      </w:r>
      <w:r w:rsidR="00213A84">
        <w:t xml:space="preserve"> </w:t>
      </w:r>
      <w:r w:rsidR="005C08BA">
        <w:tab/>
      </w:r>
      <w:r>
        <w:t>Kč</w:t>
      </w:r>
    </w:p>
    <w:p w14:paraId="0DF12DB6" w14:textId="06E6961B" w:rsidR="00DA6DB2" w:rsidRPr="002A5FF8" w:rsidRDefault="005D5F9B" w:rsidP="002A5FF8">
      <w:pPr>
        <w:pStyle w:val="02text"/>
        <w:spacing w:after="360"/>
        <w:rPr>
          <w:szCs w:val="24"/>
        </w:rPr>
      </w:pPr>
      <w:r w:rsidRPr="002A5FF8">
        <w:rPr>
          <w:szCs w:val="24"/>
        </w:rPr>
        <w:t>Doba</w:t>
      </w:r>
      <w:r w:rsidR="00213A84" w:rsidRPr="002A5FF8">
        <w:rPr>
          <w:szCs w:val="24"/>
        </w:rPr>
        <w:t xml:space="preserve"> </w:t>
      </w:r>
      <w:r w:rsidR="00EA1303" w:rsidRPr="002A5FF8">
        <w:rPr>
          <w:szCs w:val="24"/>
        </w:rPr>
        <w:t>financování</w:t>
      </w:r>
      <w:r w:rsidRPr="002A5FF8">
        <w:rPr>
          <w:szCs w:val="24"/>
        </w:rPr>
        <w:t>:</w:t>
      </w:r>
      <w:r w:rsidR="00213A84" w:rsidRPr="002A5FF8">
        <w:rPr>
          <w:szCs w:val="24"/>
        </w:rPr>
        <w:t xml:space="preserve"> </w:t>
      </w:r>
      <w:r w:rsidR="00EA1303" w:rsidRPr="002A5FF8">
        <w:rPr>
          <w:szCs w:val="24"/>
        </w:rPr>
        <w:t>15</w:t>
      </w:r>
      <w:r w:rsidRPr="002A5FF8">
        <w:rPr>
          <w:szCs w:val="24"/>
        </w:rPr>
        <w:t>.</w:t>
      </w:r>
      <w:r w:rsidR="00213A84" w:rsidRPr="002A5FF8">
        <w:rPr>
          <w:szCs w:val="24"/>
        </w:rPr>
        <w:t xml:space="preserve"> </w:t>
      </w:r>
      <w:r w:rsidRPr="002A5FF8">
        <w:rPr>
          <w:szCs w:val="24"/>
        </w:rPr>
        <w:t>4.</w:t>
      </w:r>
      <w:r w:rsidR="00213A84" w:rsidRPr="002A5FF8">
        <w:rPr>
          <w:szCs w:val="24"/>
        </w:rPr>
        <w:t xml:space="preserve"> </w:t>
      </w:r>
      <w:r w:rsidRPr="002A5FF8">
        <w:rPr>
          <w:szCs w:val="24"/>
        </w:rPr>
        <w:t>2026</w:t>
      </w:r>
      <w:r w:rsidR="00213A84" w:rsidRPr="002A5FF8">
        <w:rPr>
          <w:szCs w:val="24"/>
        </w:rPr>
        <w:t xml:space="preserve"> </w:t>
      </w:r>
      <w:r w:rsidRPr="002A5FF8">
        <w:rPr>
          <w:szCs w:val="24"/>
        </w:rPr>
        <w:t>–</w:t>
      </w:r>
      <w:r w:rsidR="00213A84" w:rsidRPr="002A5FF8">
        <w:rPr>
          <w:szCs w:val="24"/>
        </w:rPr>
        <w:t xml:space="preserve"> </w:t>
      </w:r>
      <w:r w:rsidRPr="002A5FF8">
        <w:rPr>
          <w:szCs w:val="24"/>
        </w:rPr>
        <w:t>30.</w:t>
      </w:r>
      <w:r w:rsidR="00213A84" w:rsidRPr="002A5FF8">
        <w:rPr>
          <w:szCs w:val="24"/>
        </w:rPr>
        <w:t xml:space="preserve"> </w:t>
      </w:r>
      <w:r w:rsidRPr="002A5FF8">
        <w:rPr>
          <w:szCs w:val="24"/>
        </w:rPr>
        <w:t>11.</w:t>
      </w:r>
      <w:r w:rsidR="00213A84" w:rsidRPr="002A5FF8">
        <w:rPr>
          <w:szCs w:val="24"/>
        </w:rPr>
        <w:t xml:space="preserve"> </w:t>
      </w:r>
      <w:r w:rsidRPr="002A5FF8">
        <w:rPr>
          <w:szCs w:val="24"/>
        </w:rPr>
        <w:t>2026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1"/>
        <w:gridCol w:w="1493"/>
        <w:gridCol w:w="1493"/>
        <w:gridCol w:w="2065"/>
      </w:tblGrid>
      <w:tr w:rsidR="00DA6DB2" w:rsidRPr="002A5FF8" w14:paraId="0DF12DBC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B8" w14:textId="77777777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  <w:b/>
                <w:bCs/>
              </w:rPr>
              <w:t>Položka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B9" w14:textId="242100F5" w:rsidR="00DA6DB2" w:rsidRPr="002A5FF8" w:rsidRDefault="005D5F9B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  <w:b/>
                <w:bCs/>
              </w:rPr>
              <w:t>Částka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(Kč)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BA" w14:textId="15777B8C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  <w:b/>
                <w:bCs/>
              </w:rPr>
              <w:t>Období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/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měsíce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BB" w14:textId="568B86EB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  <w:b/>
                <w:bCs/>
              </w:rPr>
              <w:t>Odůvodnění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(účel,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vazba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na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projekt)</w:t>
            </w:r>
          </w:p>
        </w:tc>
      </w:tr>
      <w:tr w:rsidR="00DA6DB2" w:rsidRPr="002A5FF8" w14:paraId="0DF12DC1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BD" w14:textId="4CC64173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  <w:b/>
                <w:bCs/>
              </w:rPr>
              <w:t>A.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Osobní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náklady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–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projektové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(vědecká/odborná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práce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řešitele)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BE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BF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C0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DC6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C2" w14:textId="0C36D907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DPP/DPČ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–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řešitel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(odborná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práce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na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projektu)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C3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C4" w14:textId="0108B06D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4/</w:t>
            </w:r>
            <w:proofErr w:type="gramStart"/>
            <w:r w:rsidRPr="002A5FF8">
              <w:rPr>
                <w:rFonts w:ascii="Comenia Sans Cond" w:hAnsi="Comenia Sans Cond"/>
              </w:rPr>
              <w:t>2026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–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11</w:t>
            </w:r>
            <w:proofErr w:type="gramEnd"/>
            <w:r w:rsidRPr="002A5FF8">
              <w:rPr>
                <w:rFonts w:ascii="Comenia Sans Cond" w:hAnsi="Comenia Sans Cond"/>
              </w:rPr>
              <w:t>/2026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C5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DCB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C7" w14:textId="63C88644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Zákonné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odvody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+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příděl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FKSP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C8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C9" w14:textId="01675E2C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4/</w:t>
            </w:r>
            <w:proofErr w:type="gramStart"/>
            <w:r w:rsidRPr="002A5FF8">
              <w:rPr>
                <w:rFonts w:ascii="Comenia Sans Cond" w:hAnsi="Comenia Sans Cond"/>
              </w:rPr>
              <w:t>2026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–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11</w:t>
            </w:r>
            <w:proofErr w:type="gramEnd"/>
            <w:r w:rsidRPr="002A5FF8">
              <w:rPr>
                <w:rFonts w:ascii="Comenia Sans Cond" w:hAnsi="Comenia Sans Cond"/>
              </w:rPr>
              <w:t>/2026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CA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DD0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CC" w14:textId="1353CFC6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  <w:b/>
                <w:bCs/>
              </w:rPr>
              <w:t>B.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Osobní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náklady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–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administrativní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(max.</w:t>
            </w:r>
            <w:r w:rsidR="002A5FF8">
              <w:rPr>
                <w:rFonts w:ascii="Comenia Sans Cond" w:hAnsi="Comenia Sans Cond"/>
                <w:b/>
                <w:bCs/>
              </w:rPr>
              <w:t> </w:t>
            </w:r>
            <w:r w:rsidRPr="002A5FF8">
              <w:rPr>
                <w:rFonts w:ascii="Comenia Sans Cond" w:hAnsi="Comenia Sans Cond"/>
                <w:b/>
                <w:bCs/>
              </w:rPr>
              <w:t>5</w:t>
            </w:r>
            <w:r w:rsidR="002A5FF8">
              <w:rPr>
                <w:rFonts w:ascii="Comenia Sans Cond" w:hAnsi="Comenia Sans Cond"/>
                <w:b/>
                <w:bCs/>
              </w:rPr>
              <w:t> </w:t>
            </w:r>
            <w:r w:rsidRPr="002A5FF8">
              <w:rPr>
                <w:rFonts w:ascii="Comenia Sans Cond" w:hAnsi="Comenia Sans Cond"/>
                <w:b/>
                <w:bCs/>
              </w:rPr>
              <w:t>000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Kč/měsíc)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CD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CE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CF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DD5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D1" w14:textId="21BAC022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DPP/DPČ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–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administrace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projektu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(max.</w:t>
            </w:r>
            <w:r w:rsidR="002A5FF8">
              <w:rPr>
                <w:rFonts w:ascii="Comenia Sans Cond" w:hAnsi="Comenia Sans Cond"/>
              </w:rPr>
              <w:t> </w:t>
            </w:r>
            <w:r w:rsidRPr="002A5FF8">
              <w:rPr>
                <w:rFonts w:ascii="Comenia Sans Cond" w:hAnsi="Comenia Sans Cond"/>
              </w:rPr>
              <w:t>5</w:t>
            </w:r>
            <w:r w:rsidR="002A5FF8">
              <w:rPr>
                <w:rFonts w:ascii="Comenia Sans Cond" w:hAnsi="Comenia Sans Cond"/>
              </w:rPr>
              <w:t> </w:t>
            </w:r>
            <w:r w:rsidRPr="002A5FF8">
              <w:rPr>
                <w:rFonts w:ascii="Comenia Sans Cond" w:hAnsi="Comenia Sans Cond"/>
              </w:rPr>
              <w:t>000</w:t>
            </w:r>
            <w:r w:rsidR="002A5FF8">
              <w:rPr>
                <w:rFonts w:ascii="Comenia Sans Cond" w:hAnsi="Comenia Sans Cond"/>
              </w:rPr>
              <w:t> </w:t>
            </w:r>
            <w:r w:rsidRPr="002A5FF8">
              <w:rPr>
                <w:rFonts w:ascii="Comenia Sans Cond" w:hAnsi="Comenia Sans Cond"/>
              </w:rPr>
              <w:t>Kč/měs</w:t>
            </w:r>
            <w:r w:rsidR="002A5FF8">
              <w:rPr>
                <w:rFonts w:ascii="Comenia Sans Cond" w:hAnsi="Comenia Sans Cond"/>
              </w:rPr>
              <w:t>íc</w:t>
            </w:r>
            <w:r w:rsidRPr="002A5FF8">
              <w:rPr>
                <w:rFonts w:ascii="Comenia Sans Cond" w:hAnsi="Comenia Sans Cond"/>
              </w:rPr>
              <w:t>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D2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D3" w14:textId="7606EC6E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4/</w:t>
            </w:r>
            <w:proofErr w:type="gramStart"/>
            <w:r w:rsidRPr="002A5FF8">
              <w:rPr>
                <w:rFonts w:ascii="Comenia Sans Cond" w:hAnsi="Comenia Sans Cond"/>
              </w:rPr>
              <w:t>2026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–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11</w:t>
            </w:r>
            <w:proofErr w:type="gramEnd"/>
            <w:r w:rsidRPr="002A5FF8">
              <w:rPr>
                <w:rFonts w:ascii="Comenia Sans Cond" w:hAnsi="Comenia Sans Cond"/>
              </w:rPr>
              <w:t>/2026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D4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DDA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D6" w14:textId="1524E419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Zákonné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odvody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+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příděl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FKSP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D7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D8" w14:textId="6690F3F8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4/</w:t>
            </w:r>
            <w:proofErr w:type="gramStart"/>
            <w:r w:rsidRPr="002A5FF8">
              <w:rPr>
                <w:rFonts w:ascii="Comenia Sans Cond" w:hAnsi="Comenia Sans Cond"/>
              </w:rPr>
              <w:t>2026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–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11</w:t>
            </w:r>
            <w:proofErr w:type="gramEnd"/>
            <w:r w:rsidRPr="002A5FF8">
              <w:rPr>
                <w:rFonts w:ascii="Comenia Sans Cond" w:hAnsi="Comenia Sans Cond"/>
              </w:rPr>
              <w:t>/2026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D9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DDF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DB" w14:textId="44C1615D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  <w:b/>
                <w:bCs/>
              </w:rPr>
              <w:t>C.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Materiální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náklady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DC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DD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DE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DE4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E0" w14:textId="5491A7E2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Literatura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/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odborné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publikace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E1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E2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E3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DE9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E5" w14:textId="7E1FCA80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Kancelářský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/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laboratorn</w:t>
            </w:r>
            <w:r w:rsidR="00186B67" w:rsidRPr="002A5FF8">
              <w:rPr>
                <w:rFonts w:ascii="Comenia Sans Cond" w:hAnsi="Comenia Sans Cond"/>
              </w:rPr>
              <w:t>í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materiál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E6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E7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E8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DEE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EA" w14:textId="7904506C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Drobný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hmotný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majetek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EB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EC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ED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DF3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EF" w14:textId="3D151174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  <w:b/>
                <w:bCs/>
              </w:rPr>
              <w:t>D.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Cestovní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náklady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F0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F1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F2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DF8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F4" w14:textId="05E12508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Doprava,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ubytování,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stravné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(pracovní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cesta)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F5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F6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F7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DFD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F9" w14:textId="27576F99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  <w:b/>
                <w:bCs/>
              </w:rPr>
              <w:t>E.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Ostatní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služby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a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nemateriální</w:t>
            </w:r>
            <w:r w:rsidR="00213A84" w:rsidRPr="002A5FF8">
              <w:rPr>
                <w:rFonts w:ascii="Comenia Sans Cond" w:hAnsi="Comenia Sans Cond"/>
                <w:b/>
                <w:bCs/>
              </w:rPr>
              <w:t xml:space="preserve"> </w:t>
            </w:r>
            <w:r w:rsidRPr="002A5FF8">
              <w:rPr>
                <w:rFonts w:ascii="Comenia Sans Cond" w:hAnsi="Comenia Sans Cond"/>
                <w:b/>
                <w:bCs/>
              </w:rPr>
              <w:t>náklady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FA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FB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FC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E02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FE" w14:textId="65227F4D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Publikační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poplatky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(APC)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DFF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00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01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E07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03" w14:textId="3744352D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Konferen</w:t>
            </w:r>
            <w:r w:rsidR="00186B67" w:rsidRPr="002A5FF8">
              <w:rPr>
                <w:rFonts w:ascii="Comenia Sans Cond" w:hAnsi="Comenia Sans Cond"/>
              </w:rPr>
              <w:t>č</w:t>
            </w:r>
            <w:r w:rsidRPr="002A5FF8">
              <w:rPr>
                <w:rFonts w:ascii="Comenia Sans Cond" w:hAnsi="Comenia Sans Cond"/>
              </w:rPr>
              <w:t>ní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poplatky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04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05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06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E0C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08" w14:textId="24EF526C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lastRenderedPageBreak/>
              <w:t>Jazyková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korektura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09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0A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0B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E11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0D" w14:textId="1D24C276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Odborné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konzultace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0E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0F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10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DA6DB2" w:rsidRPr="002A5FF8" w14:paraId="0DF12E16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12" w14:textId="3E2FC653" w:rsidR="00DA6DB2" w:rsidRPr="002A5FF8" w:rsidRDefault="005D5F9B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</w:rPr>
              <w:t>Administrativní</w:t>
            </w:r>
            <w:r w:rsidR="00213A84" w:rsidRPr="002A5FF8">
              <w:rPr>
                <w:rFonts w:ascii="Comenia Sans Cond" w:hAnsi="Comenia Sans Cond"/>
              </w:rPr>
              <w:t xml:space="preserve"> </w:t>
            </w:r>
            <w:r w:rsidRPr="002A5FF8">
              <w:rPr>
                <w:rFonts w:ascii="Comenia Sans Cond" w:hAnsi="Comenia Sans Cond"/>
              </w:rPr>
              <w:t>poplatky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13" w14:textId="77777777" w:rsidR="00DA6DB2" w:rsidRPr="002A5FF8" w:rsidRDefault="00DA6DB2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14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15" w14:textId="77777777" w:rsidR="00DA6DB2" w:rsidRPr="002A5FF8" w:rsidRDefault="00DA6DB2">
            <w:pPr>
              <w:spacing w:before="40" w:after="40"/>
              <w:rPr>
                <w:rFonts w:ascii="Comenia Sans Cond" w:hAnsi="Comenia Sans Cond"/>
              </w:rPr>
            </w:pPr>
          </w:p>
        </w:tc>
      </w:tr>
      <w:tr w:rsidR="002A5FF8" w:rsidRPr="002A5FF8" w14:paraId="0DF12E1B" w14:textId="77777777" w:rsidTr="002A5FF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17" w14:textId="77777777" w:rsidR="002A5FF8" w:rsidRPr="002A5FF8" w:rsidRDefault="002A5FF8">
            <w:pPr>
              <w:spacing w:before="40" w:after="40"/>
              <w:rPr>
                <w:rFonts w:ascii="Comenia Sans Cond" w:hAnsi="Comenia Sans Cond"/>
              </w:rPr>
            </w:pPr>
            <w:r w:rsidRPr="002A5FF8">
              <w:rPr>
                <w:rFonts w:ascii="Comenia Sans Cond" w:hAnsi="Comenia Sans Cond"/>
                <w:b/>
                <w:bCs/>
              </w:rPr>
              <w:t>CELKEM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18" w14:textId="77777777" w:rsidR="002A5FF8" w:rsidRPr="002A5FF8" w:rsidRDefault="002A5FF8" w:rsidP="002A5FF8">
            <w:pPr>
              <w:spacing w:before="40" w:after="40"/>
              <w:jc w:val="right"/>
              <w:rPr>
                <w:rFonts w:ascii="Comenia Sans Cond" w:hAnsi="Comenia Sans Cond"/>
              </w:rPr>
            </w:pP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12E1A" w14:textId="77777777" w:rsidR="002A5FF8" w:rsidRPr="002A5FF8" w:rsidRDefault="002A5FF8">
            <w:pPr>
              <w:spacing w:before="40" w:after="40"/>
              <w:rPr>
                <w:rFonts w:ascii="Comenia Sans Cond" w:hAnsi="Comenia Sans Cond"/>
              </w:rPr>
            </w:pPr>
          </w:p>
        </w:tc>
      </w:tr>
    </w:tbl>
    <w:p w14:paraId="7EF470A7" w14:textId="5555FEDB" w:rsidR="002A5FF8" w:rsidRDefault="002A5FF8" w:rsidP="000D20F5">
      <w:pPr>
        <w:pStyle w:val="02text"/>
      </w:pPr>
    </w:p>
    <w:sectPr w:rsidR="002A5FF8" w:rsidSect="0030050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642C" w14:textId="77777777" w:rsidR="00902DDF" w:rsidRDefault="00902DDF">
      <w:r>
        <w:separator/>
      </w:r>
    </w:p>
  </w:endnote>
  <w:endnote w:type="continuationSeparator" w:id="0">
    <w:p w14:paraId="3551ED80" w14:textId="77777777" w:rsidR="00902DDF" w:rsidRDefault="0090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enia Sans Cond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2E65" w14:textId="3AF2DB23" w:rsidR="003A47E4" w:rsidRPr="00213A84" w:rsidRDefault="003A47E4" w:rsidP="00213A84">
    <w:pPr>
      <w:pStyle w:val="02text"/>
      <w:jc w:val="center"/>
      <w:rPr>
        <w:sz w:val="16"/>
        <w:szCs w:val="16"/>
      </w:rPr>
    </w:pPr>
    <w:r w:rsidRPr="00213A84">
      <w:rPr>
        <w:sz w:val="16"/>
        <w:szCs w:val="16"/>
      </w:rPr>
      <w:fldChar w:fldCharType="begin"/>
    </w:r>
    <w:r w:rsidRPr="00213A84">
      <w:rPr>
        <w:sz w:val="16"/>
        <w:szCs w:val="16"/>
      </w:rPr>
      <w:instrText>PAGE</w:instrText>
    </w:r>
    <w:r w:rsidRPr="00213A84">
      <w:rPr>
        <w:sz w:val="16"/>
        <w:szCs w:val="16"/>
      </w:rPr>
      <w:fldChar w:fldCharType="separate"/>
    </w:r>
    <w:r w:rsidRPr="00213A84">
      <w:rPr>
        <w:noProof/>
        <w:sz w:val="16"/>
        <w:szCs w:val="16"/>
      </w:rPr>
      <w:t>1</w:t>
    </w:r>
    <w:r w:rsidRPr="00213A8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8554" w14:textId="77777777" w:rsidR="00902DDF" w:rsidRDefault="00902DDF">
      <w:r>
        <w:separator/>
      </w:r>
    </w:p>
  </w:footnote>
  <w:footnote w:type="continuationSeparator" w:id="0">
    <w:p w14:paraId="6D7B1E9B" w14:textId="77777777" w:rsidR="00902DDF" w:rsidRDefault="00902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2E64" w14:textId="1FFA23F7" w:rsidR="003A47E4" w:rsidRPr="00213A84" w:rsidRDefault="003A47E4" w:rsidP="00213A84">
    <w:pPr>
      <w:pStyle w:val="02text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64300"/>
    <w:multiLevelType w:val="hybridMultilevel"/>
    <w:tmpl w:val="D8745ACA"/>
    <w:lvl w:ilvl="0" w:tplc="5164D7A4">
      <w:start w:val="1"/>
      <w:numFmt w:val="bullet"/>
      <w:pStyle w:val="05textodr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70811"/>
    <w:multiLevelType w:val="hybridMultilevel"/>
    <w:tmpl w:val="71064C64"/>
    <w:lvl w:ilvl="0" w:tplc="30CE9A2C">
      <w:start w:val="1"/>
      <w:numFmt w:val="lowerLetter"/>
      <w:pStyle w:val="04textab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C3BC2"/>
    <w:multiLevelType w:val="hybridMultilevel"/>
    <w:tmpl w:val="D514180C"/>
    <w:lvl w:ilvl="0" w:tplc="EDE4C94C">
      <w:start w:val="1"/>
      <w:numFmt w:val="decimal"/>
      <w:pStyle w:val="03textcislo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E7053"/>
    <w:multiLevelType w:val="hybridMultilevel"/>
    <w:tmpl w:val="D0D2A8A0"/>
    <w:lvl w:ilvl="0" w:tplc="74069B0E">
      <w:start w:val="1"/>
      <w:numFmt w:val="bullet"/>
      <w:lvlText w:val="●"/>
      <w:lvlJc w:val="left"/>
      <w:pPr>
        <w:ind w:left="720" w:hanging="360"/>
      </w:pPr>
    </w:lvl>
    <w:lvl w:ilvl="1" w:tplc="0BB6A622">
      <w:start w:val="1"/>
      <w:numFmt w:val="bullet"/>
      <w:lvlText w:val="○"/>
      <w:lvlJc w:val="left"/>
      <w:pPr>
        <w:ind w:left="1440" w:hanging="360"/>
      </w:pPr>
    </w:lvl>
    <w:lvl w:ilvl="2" w:tplc="FFB8046A">
      <w:start w:val="1"/>
      <w:numFmt w:val="bullet"/>
      <w:lvlText w:val="■"/>
      <w:lvlJc w:val="left"/>
      <w:pPr>
        <w:ind w:left="2160" w:hanging="360"/>
      </w:pPr>
    </w:lvl>
    <w:lvl w:ilvl="3" w:tplc="CADCD7FE">
      <w:start w:val="1"/>
      <w:numFmt w:val="bullet"/>
      <w:lvlText w:val="●"/>
      <w:lvlJc w:val="left"/>
      <w:pPr>
        <w:ind w:left="2880" w:hanging="360"/>
      </w:pPr>
    </w:lvl>
    <w:lvl w:ilvl="4" w:tplc="AF18D1DC">
      <w:start w:val="1"/>
      <w:numFmt w:val="bullet"/>
      <w:lvlText w:val="○"/>
      <w:lvlJc w:val="left"/>
      <w:pPr>
        <w:ind w:left="3600" w:hanging="360"/>
      </w:pPr>
    </w:lvl>
    <w:lvl w:ilvl="5" w:tplc="69021022">
      <w:start w:val="1"/>
      <w:numFmt w:val="bullet"/>
      <w:lvlText w:val="■"/>
      <w:lvlJc w:val="left"/>
      <w:pPr>
        <w:ind w:left="4320" w:hanging="360"/>
      </w:pPr>
    </w:lvl>
    <w:lvl w:ilvl="6" w:tplc="6BA4EAE0">
      <w:start w:val="1"/>
      <w:numFmt w:val="bullet"/>
      <w:lvlText w:val="●"/>
      <w:lvlJc w:val="left"/>
      <w:pPr>
        <w:ind w:left="5040" w:hanging="360"/>
      </w:pPr>
    </w:lvl>
    <w:lvl w:ilvl="7" w:tplc="4934C998">
      <w:start w:val="1"/>
      <w:numFmt w:val="bullet"/>
      <w:lvlText w:val="●"/>
      <w:lvlJc w:val="left"/>
      <w:pPr>
        <w:ind w:left="5760" w:hanging="360"/>
      </w:pPr>
    </w:lvl>
    <w:lvl w:ilvl="8" w:tplc="48EABAD8">
      <w:start w:val="1"/>
      <w:numFmt w:val="bullet"/>
      <w:lvlText w:val="●"/>
      <w:lvlJc w:val="left"/>
      <w:pPr>
        <w:ind w:left="6480" w:hanging="360"/>
      </w:pPr>
    </w:lvl>
  </w:abstractNum>
  <w:num w:numId="1" w16cid:durableId="414716390">
    <w:abstractNumId w:val="3"/>
    <w:lvlOverride w:ilvl="0">
      <w:startOverride w:val="1"/>
    </w:lvlOverride>
  </w:num>
  <w:num w:numId="2" w16cid:durableId="946700229">
    <w:abstractNumId w:val="2"/>
  </w:num>
  <w:num w:numId="3" w16cid:durableId="547376537">
    <w:abstractNumId w:val="1"/>
  </w:num>
  <w:num w:numId="4" w16cid:durableId="822889458">
    <w:abstractNumId w:val="0"/>
  </w:num>
  <w:num w:numId="5" w16cid:durableId="1040396877">
    <w:abstractNumId w:val="2"/>
    <w:lvlOverride w:ilvl="0">
      <w:startOverride w:val="1"/>
    </w:lvlOverride>
  </w:num>
  <w:num w:numId="6" w16cid:durableId="842016412">
    <w:abstractNumId w:val="2"/>
    <w:lvlOverride w:ilvl="0">
      <w:startOverride w:val="1"/>
    </w:lvlOverride>
  </w:num>
  <w:num w:numId="7" w16cid:durableId="240876257">
    <w:abstractNumId w:val="2"/>
    <w:lvlOverride w:ilvl="0">
      <w:startOverride w:val="1"/>
    </w:lvlOverride>
  </w:num>
  <w:num w:numId="8" w16cid:durableId="2065106794">
    <w:abstractNumId w:val="1"/>
    <w:lvlOverride w:ilvl="0">
      <w:startOverride w:val="1"/>
    </w:lvlOverride>
  </w:num>
  <w:num w:numId="9" w16cid:durableId="1786845619">
    <w:abstractNumId w:val="2"/>
    <w:lvlOverride w:ilvl="0">
      <w:startOverride w:val="1"/>
    </w:lvlOverride>
  </w:num>
  <w:num w:numId="10" w16cid:durableId="1674187907">
    <w:abstractNumId w:val="1"/>
    <w:lvlOverride w:ilvl="0">
      <w:startOverride w:val="1"/>
    </w:lvlOverride>
  </w:num>
  <w:num w:numId="11" w16cid:durableId="1431469928">
    <w:abstractNumId w:val="2"/>
    <w:lvlOverride w:ilvl="0">
      <w:startOverride w:val="1"/>
    </w:lvlOverride>
  </w:num>
  <w:num w:numId="12" w16cid:durableId="631253220">
    <w:abstractNumId w:val="2"/>
    <w:lvlOverride w:ilvl="0">
      <w:startOverride w:val="1"/>
    </w:lvlOverride>
  </w:num>
  <w:num w:numId="13" w16cid:durableId="473841095">
    <w:abstractNumId w:val="2"/>
    <w:lvlOverride w:ilvl="0">
      <w:startOverride w:val="1"/>
    </w:lvlOverride>
  </w:num>
  <w:num w:numId="14" w16cid:durableId="1682049045">
    <w:abstractNumId w:val="2"/>
    <w:lvlOverride w:ilvl="0">
      <w:startOverride w:val="1"/>
    </w:lvlOverride>
  </w:num>
  <w:num w:numId="15" w16cid:durableId="1780055367">
    <w:abstractNumId w:val="1"/>
    <w:lvlOverride w:ilvl="0">
      <w:startOverride w:val="1"/>
    </w:lvlOverride>
  </w:num>
  <w:num w:numId="16" w16cid:durableId="619191827">
    <w:abstractNumId w:val="2"/>
    <w:lvlOverride w:ilvl="0">
      <w:startOverride w:val="1"/>
    </w:lvlOverride>
  </w:num>
  <w:num w:numId="17" w16cid:durableId="173790065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DB2"/>
    <w:rsid w:val="00000757"/>
    <w:rsid w:val="000112EA"/>
    <w:rsid w:val="00016A96"/>
    <w:rsid w:val="000267C8"/>
    <w:rsid w:val="0006195A"/>
    <w:rsid w:val="000976E1"/>
    <w:rsid w:val="000B50C7"/>
    <w:rsid w:val="000D20F5"/>
    <w:rsid w:val="00186B67"/>
    <w:rsid w:val="00213A84"/>
    <w:rsid w:val="00252235"/>
    <w:rsid w:val="002A5FF8"/>
    <w:rsid w:val="002E4AA3"/>
    <w:rsid w:val="00300502"/>
    <w:rsid w:val="003220AA"/>
    <w:rsid w:val="003A47E4"/>
    <w:rsid w:val="004545FD"/>
    <w:rsid w:val="00515FC8"/>
    <w:rsid w:val="00554024"/>
    <w:rsid w:val="005C08BA"/>
    <w:rsid w:val="005D5F9B"/>
    <w:rsid w:val="00684026"/>
    <w:rsid w:val="006945EE"/>
    <w:rsid w:val="00735F21"/>
    <w:rsid w:val="007A4D40"/>
    <w:rsid w:val="008617F3"/>
    <w:rsid w:val="00902DDF"/>
    <w:rsid w:val="00A11875"/>
    <w:rsid w:val="00A76826"/>
    <w:rsid w:val="00B635D1"/>
    <w:rsid w:val="00C709D6"/>
    <w:rsid w:val="00D12CC3"/>
    <w:rsid w:val="00D32BF1"/>
    <w:rsid w:val="00DA0C84"/>
    <w:rsid w:val="00DA6DB2"/>
    <w:rsid w:val="00EA1303"/>
    <w:rsid w:val="00EF5958"/>
    <w:rsid w:val="00F64ADD"/>
    <w:rsid w:val="00FB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2D2E"/>
  <w15:docId w15:val="{A71D5544-AE7A-4452-959F-8AB6AC45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uiPriority w:val="9"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rPr>
      <w:sz w:val="56"/>
      <w:szCs w:val="56"/>
    </w:rPr>
  </w:style>
  <w:style w:type="paragraph" w:customStyle="1" w:styleId="Siln1">
    <w:name w:val="Silné1"/>
    <w:rPr>
      <w:b/>
      <w:bCs/>
    </w:rPr>
  </w:style>
  <w:style w:type="paragraph" w:styleId="Odstavecseseznamem">
    <w:name w:val="List Paragraph"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paragraph" w:customStyle="1" w:styleId="00titulek">
    <w:name w:val="00_titulek"/>
    <w:next w:val="Normln"/>
    <w:qFormat/>
    <w:rsid w:val="00300502"/>
    <w:pPr>
      <w:suppressAutoHyphens/>
      <w:spacing w:before="480" w:after="240"/>
      <w:jc w:val="center"/>
    </w:pPr>
    <w:rPr>
      <w:rFonts w:ascii="Comenia Sans" w:hAnsi="Comenia Sans"/>
      <w:b/>
      <w:noProof/>
      <w:sz w:val="44"/>
      <w:szCs w:val="32"/>
    </w:rPr>
  </w:style>
  <w:style w:type="paragraph" w:customStyle="1" w:styleId="01h1">
    <w:name w:val="01_h1"/>
    <w:next w:val="Normln"/>
    <w:qFormat/>
    <w:rsid w:val="00300502"/>
    <w:pPr>
      <w:suppressAutoHyphens/>
      <w:spacing w:before="360" w:after="240"/>
      <w:jc w:val="center"/>
    </w:pPr>
    <w:rPr>
      <w:rFonts w:ascii="Comenia Sans" w:hAnsi="Comenia Sans"/>
      <w:b/>
      <w:sz w:val="28"/>
      <w:szCs w:val="28"/>
    </w:rPr>
  </w:style>
  <w:style w:type="paragraph" w:customStyle="1" w:styleId="02text">
    <w:name w:val="02_text"/>
    <w:qFormat/>
    <w:rsid w:val="00300502"/>
    <w:pPr>
      <w:suppressAutoHyphens/>
      <w:spacing w:after="120"/>
      <w:jc w:val="both"/>
    </w:pPr>
    <w:rPr>
      <w:rFonts w:ascii="Comenia Serif" w:eastAsiaTheme="minorHAnsi" w:hAnsi="Comenia Serif"/>
      <w:sz w:val="24"/>
      <w:lang w:eastAsia="en-US"/>
    </w:rPr>
  </w:style>
  <w:style w:type="paragraph" w:customStyle="1" w:styleId="03textcislo">
    <w:name w:val="03_text_cislo"/>
    <w:basedOn w:val="02text"/>
    <w:qFormat/>
    <w:rsid w:val="00300502"/>
    <w:pPr>
      <w:numPr>
        <w:numId w:val="2"/>
      </w:numPr>
    </w:pPr>
  </w:style>
  <w:style w:type="paragraph" w:customStyle="1" w:styleId="04textabc">
    <w:name w:val="04_text_abc"/>
    <w:basedOn w:val="02text"/>
    <w:qFormat/>
    <w:rsid w:val="00300502"/>
    <w:pPr>
      <w:numPr>
        <w:numId w:val="3"/>
      </w:numPr>
    </w:pPr>
  </w:style>
  <w:style w:type="paragraph" w:customStyle="1" w:styleId="05textodrz">
    <w:name w:val="05_text_odrz"/>
    <w:basedOn w:val="02text"/>
    <w:qFormat/>
    <w:rsid w:val="00300502"/>
    <w:pPr>
      <w:numPr>
        <w:numId w:val="4"/>
      </w:numPr>
      <w:jc w:val="left"/>
    </w:pPr>
  </w:style>
  <w:style w:type="paragraph" w:customStyle="1" w:styleId="06pozn">
    <w:name w:val="06_pozn"/>
    <w:basedOn w:val="02text"/>
    <w:qFormat/>
    <w:rsid w:val="00300502"/>
    <w:pPr>
      <w:spacing w:after="0"/>
    </w:pPr>
    <w:rPr>
      <w:sz w:val="16"/>
    </w:rPr>
  </w:style>
  <w:style w:type="paragraph" w:customStyle="1" w:styleId="07index">
    <w:name w:val="07_index"/>
    <w:basedOn w:val="Normln"/>
    <w:qFormat/>
    <w:rsid w:val="00300502"/>
    <w:pPr>
      <w:suppressAutoHyphens/>
      <w:spacing w:after="160"/>
      <w:jc w:val="right"/>
    </w:pPr>
    <w:rPr>
      <w:rFonts w:ascii="Comenia Sans" w:eastAsiaTheme="minorHAnsi" w:hAnsi="Comenia Sans"/>
      <w:b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13A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3A84"/>
  </w:style>
  <w:style w:type="paragraph" w:styleId="Zpat">
    <w:name w:val="footer"/>
    <w:basedOn w:val="Normln"/>
    <w:link w:val="ZpatChar"/>
    <w:uiPriority w:val="99"/>
    <w:unhideWhenUsed/>
    <w:rsid w:val="00213A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Bláhová Jitka 3</cp:lastModifiedBy>
  <cp:revision>3</cp:revision>
  <dcterms:created xsi:type="dcterms:W3CDTF">2026-03-13T12:09:00Z</dcterms:created>
  <dcterms:modified xsi:type="dcterms:W3CDTF">2026-03-13T12:40:00Z</dcterms:modified>
</cp:coreProperties>
</file>