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21" w:rsidRDefault="00AE4A21" w:rsidP="00AE4A21">
      <w:pPr>
        <w:spacing w:after="240"/>
        <w:rPr>
          <w:rFonts w:ascii="Comenia Sans" w:hAnsi="Comenia Sans"/>
          <w:b/>
          <w:bCs/>
          <w:caps/>
          <w:kern w:val="28"/>
          <w:sz w:val="28"/>
          <w:szCs w:val="28"/>
        </w:rPr>
      </w:pPr>
    </w:p>
    <w:p w:rsidR="00AE4A21" w:rsidRPr="00612C4C" w:rsidRDefault="00AE4A21" w:rsidP="00AE4A21">
      <w:pPr>
        <w:spacing w:after="240"/>
      </w:pPr>
      <w:bookmarkStart w:id="0" w:name="_GoBack"/>
      <w:bookmarkEnd w:id="0"/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Poučení zam</w:t>
      </w:r>
      <w:r>
        <w:rPr>
          <w:rFonts w:ascii="Comenia Sans" w:hAnsi="Comenia Sans"/>
          <w:b/>
          <w:bCs/>
          <w:caps/>
          <w:kern w:val="28"/>
          <w:sz w:val="28"/>
          <w:szCs w:val="28"/>
        </w:rPr>
        <w:t>ěstnance, KTERÝ se účastní vědy a </w:t>
      </w:r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výzkumu</w:t>
      </w:r>
    </w:p>
    <w:p w:rsidR="00AE4A21" w:rsidRPr="004D0BEF" w:rsidRDefault="00AE4A21" w:rsidP="00AE4A21">
      <w:pPr>
        <w:tabs>
          <w:tab w:val="left" w:pos="1691"/>
        </w:tabs>
        <w:suppressAutoHyphens/>
        <w:spacing w:before="120" w:after="12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 xml:space="preserve">Zaměstnanec, </w:t>
      </w:r>
      <w:r w:rsidRPr="009F083D">
        <w:rPr>
          <w:rFonts w:ascii="Comenia Serif" w:hAnsi="Comenia Serif"/>
          <w:sz w:val="24"/>
          <w:szCs w:val="24"/>
          <w:highlight w:val="lightGray"/>
        </w:rPr>
        <w:t>[jméno, příjmení, tituly]</w:t>
      </w:r>
      <w:r w:rsidRPr="004D0BEF">
        <w:rPr>
          <w:rFonts w:ascii="Comenia Serif" w:hAnsi="Comenia Serif"/>
          <w:sz w:val="24"/>
          <w:szCs w:val="24"/>
        </w:rPr>
        <w:t xml:space="preserve">, bytem/bydlištěm </w:t>
      </w:r>
      <w:r w:rsidRPr="009F083D">
        <w:rPr>
          <w:rFonts w:ascii="Comenia Serif" w:hAnsi="Comenia Serif"/>
          <w:sz w:val="24"/>
          <w:szCs w:val="24"/>
          <w:highlight w:val="lightGray"/>
        </w:rPr>
        <w:t>[adresa trvalého bydliště]</w:t>
      </w:r>
      <w:r w:rsidRPr="004D0BEF">
        <w:rPr>
          <w:rFonts w:ascii="Comenia Serif" w:hAnsi="Comenia Serif"/>
          <w:sz w:val="24"/>
          <w:szCs w:val="24"/>
        </w:rPr>
        <w:t xml:space="preserve">, byl seznámen </w:t>
      </w:r>
      <w:r>
        <w:rPr>
          <w:rFonts w:ascii="Comenia Serif" w:hAnsi="Comenia Serif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menia Serif" w:hAnsi="Comenia Serif"/>
          <w:sz w:val="24"/>
          <w:szCs w:val="24"/>
        </w:rPr>
        <w:t xml:space="preserve">obsahem poučení </w:t>
      </w:r>
      <w:r w:rsidRPr="004D0BEF">
        <w:rPr>
          <w:rFonts w:ascii="Comenia Serif" w:hAnsi="Comenia Serif"/>
          <w:sz w:val="24"/>
          <w:szCs w:val="24"/>
        </w:rPr>
        <w:t>a</w:t>
      </w:r>
      <w:r>
        <w:rPr>
          <w:rFonts w:ascii="Comenia Serif" w:hAnsi="Comenia Serif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rozumí následujícím ustanovením zákonné úpravy povinností zaměstnanců ve vztahu k</w:t>
      </w:r>
      <w:r w:rsidRPr="004D0BEF">
        <w:rPr>
          <w:rFonts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duševnímu vlastnictví Univerzity Hradec Králové (dále jen „UHK“), och</w:t>
      </w:r>
      <w:r>
        <w:rPr>
          <w:rFonts w:ascii="Comenia Serif" w:hAnsi="Comenia Serif"/>
          <w:sz w:val="24"/>
          <w:szCs w:val="24"/>
        </w:rPr>
        <w:t>raně obchodního tajemství UHK a </w:t>
      </w:r>
      <w:r w:rsidRPr="004D0BEF">
        <w:rPr>
          <w:rFonts w:ascii="Comenia Serif" w:hAnsi="Comenia Serif"/>
          <w:sz w:val="24"/>
          <w:szCs w:val="24"/>
        </w:rPr>
        <w:t xml:space="preserve">jeho </w:t>
      </w:r>
      <w:r>
        <w:rPr>
          <w:rFonts w:ascii="Comenia Serif" w:hAnsi="Comenia Serif"/>
          <w:spacing w:val="-4"/>
          <w:sz w:val="24"/>
          <w:szCs w:val="24"/>
        </w:rPr>
        <w:t xml:space="preserve">smluvních partnerů, a se </w:t>
      </w:r>
      <w:r w:rsidRPr="004D0BEF">
        <w:rPr>
          <w:rFonts w:ascii="Comenia Serif" w:hAnsi="Comenia Serif"/>
          <w:spacing w:val="-4"/>
          <w:sz w:val="24"/>
          <w:szCs w:val="24"/>
        </w:rPr>
        <w:t>souvisejícími dopady případného porušení níže uvedených zákonných ustanovení:</w:t>
      </w:r>
    </w:p>
    <w:p w:rsidR="00AE4A21" w:rsidRPr="004D0BEF" w:rsidRDefault="00AE4A21" w:rsidP="00AE4A21">
      <w:pPr>
        <w:tabs>
          <w:tab w:val="left" w:pos="1691"/>
        </w:tabs>
        <w:suppressAutoHyphens/>
        <w:spacing w:before="24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89/2012 </w:t>
      </w:r>
      <w:r w:rsidRPr="004D0BEF">
        <w:rPr>
          <w:rFonts w:ascii="Comenia Serif" w:hAnsi="Comenia Serif"/>
          <w:sz w:val="24"/>
          <w:szCs w:val="24"/>
        </w:rPr>
        <w:t>Sb., občanský zákoník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definuje v § </w:t>
      </w:r>
      <w:r w:rsidRPr="004D0BEF">
        <w:rPr>
          <w:rFonts w:ascii="Comenia Serif" w:hAnsi="Comenia Serif"/>
        </w:rPr>
        <w:t xml:space="preserve">504 termín obchodní tajemství: </w:t>
      </w:r>
    </w:p>
    <w:p w:rsidR="00AE4A21" w:rsidRPr="004D0BEF" w:rsidRDefault="00AE4A21" w:rsidP="00AE4A2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„Obchodní tajemství tvoří konkurenčně vý</w:t>
      </w:r>
      <w:r>
        <w:rPr>
          <w:rFonts w:ascii="Comenia Serif" w:hAnsi="Comenia Serif"/>
          <w:b/>
        </w:rPr>
        <w:t>znamné, určitelné, ocenitelné a v </w:t>
      </w:r>
      <w:r w:rsidRPr="004D0BEF">
        <w:rPr>
          <w:rFonts w:ascii="Comenia Serif" w:hAnsi="Comenia Serif"/>
          <w:b/>
        </w:rPr>
        <w:t>příslušných obchodních kruzích běžně nedostupné skutečnosti, které souvisejí se závodem a</w:t>
      </w:r>
      <w:r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jejichž vlastník zajišťuje ve svém zájmu odpovídajícím způsobem jejich utajení.“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dále v § </w:t>
      </w:r>
      <w:r w:rsidRPr="004D0BEF">
        <w:rPr>
          <w:rFonts w:ascii="Comenia Serif" w:hAnsi="Comenia Serif"/>
        </w:rPr>
        <w:t>2985 uvádí, co je považováno za porušení obchodního tajemství:</w:t>
      </w:r>
    </w:p>
    <w:p w:rsidR="00AE4A21" w:rsidRPr="004D0BEF" w:rsidRDefault="00AE4A21" w:rsidP="00AE4A21">
      <w:pPr>
        <w:pStyle w:val="Default"/>
        <w:tabs>
          <w:tab w:val="num" w:pos="426"/>
        </w:tabs>
        <w:suppressAutoHyphens/>
        <w:spacing w:before="120" w:after="120"/>
        <w:ind w:left="426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„Porušením obchodního tajemství je jednání, jímž jednající jiné osobě neoprávněně sdělí, zpřístupní, pro sebe nebo pro jiného využije obchodní tajemství, které může být využito v</w:t>
      </w:r>
      <w:r w:rsidRPr="004D0BEF">
        <w:rPr>
          <w:rFonts w:ascii="Calibri" w:hAnsi="Calibri" w:cs="Calibri"/>
          <w:b/>
          <w:color w:val="auto"/>
        </w:rPr>
        <w:t> </w:t>
      </w:r>
      <w:r w:rsidRPr="004D0BEF">
        <w:rPr>
          <w:rFonts w:ascii="Comenia Serif" w:hAnsi="Comenia Serif"/>
          <w:b/>
          <w:color w:val="auto"/>
        </w:rPr>
        <w:t xml:space="preserve">soutěži a o němž se dověděl </w:t>
      </w:r>
    </w:p>
    <w:p w:rsidR="00AE4A21" w:rsidRPr="004D0BEF" w:rsidRDefault="00AE4A21" w:rsidP="00AE4A21">
      <w:pPr>
        <w:pStyle w:val="Default"/>
        <w:numPr>
          <w:ilvl w:val="0"/>
          <w:numId w:val="2"/>
        </w:numPr>
        <w:suppressAutoHyphens/>
        <w:spacing w:before="120" w:after="120"/>
        <w:ind w:left="851" w:hanging="425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tím, že mu tajemství bylo svěřeno nebo jinak se stalo přístupným na základě jeho pracovního poměru k soutěžiteli nebo na základě jiného vztahu k němu, popř</w:t>
      </w:r>
      <w:r>
        <w:rPr>
          <w:rFonts w:ascii="Comenia Serif" w:hAnsi="Comenia Serif"/>
          <w:b/>
          <w:color w:val="auto"/>
        </w:rPr>
        <w:t>ípadě v rámci výkonu funkce, k </w:t>
      </w:r>
      <w:r w:rsidRPr="004D0BEF">
        <w:rPr>
          <w:rFonts w:ascii="Comenia Serif" w:hAnsi="Comenia Serif"/>
          <w:b/>
          <w:color w:val="auto"/>
        </w:rPr>
        <w:t xml:space="preserve">níž byl soudem nebo jiným orgánem povolán, nebo </w:t>
      </w:r>
    </w:p>
    <w:p w:rsidR="00AE4A21" w:rsidRPr="004D0BEF" w:rsidRDefault="00AE4A21" w:rsidP="00AE4A21">
      <w:pPr>
        <w:pStyle w:val="Norml12"/>
        <w:numPr>
          <w:ilvl w:val="0"/>
          <w:numId w:val="2"/>
        </w:numPr>
        <w:suppressAutoHyphens/>
        <w:ind w:left="851" w:hanging="425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vlastním nebo cizím jednáním příčícím se zákonu.“</w:t>
      </w:r>
    </w:p>
    <w:p w:rsidR="00AE4A21" w:rsidRPr="004D0BEF" w:rsidRDefault="00AE4A21" w:rsidP="00AE4A21">
      <w:pPr>
        <w:tabs>
          <w:tab w:val="left" w:pos="1691"/>
        </w:tabs>
        <w:suppressAutoHyphens/>
        <w:spacing w:before="48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527/1990 Sb., o vynálezech a </w:t>
      </w:r>
      <w:r w:rsidRPr="004D0BEF">
        <w:rPr>
          <w:rFonts w:ascii="Comenia Serif" w:hAnsi="Comenia Serif"/>
          <w:sz w:val="24"/>
          <w:szCs w:val="24"/>
        </w:rPr>
        <w:t>zlepšovacích návrzích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hanging="578"/>
        <w:jc w:val="both"/>
        <w:rPr>
          <w:rFonts w:ascii="Comenia Serif" w:hAnsi="Comenia Serif"/>
        </w:rPr>
      </w:pPr>
      <w:r>
        <w:rPr>
          <w:rFonts w:ascii="Comenia Serif" w:hAnsi="Comenia Serif"/>
        </w:rPr>
        <w:t>stanovuje v § </w:t>
      </w:r>
      <w:r w:rsidRPr="004D0BEF">
        <w:rPr>
          <w:rFonts w:ascii="Comenia Serif" w:hAnsi="Comenia Serif"/>
        </w:rPr>
        <w:t>9 povinnosti původce ve vztahu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zaměstnavateli:</w:t>
      </w:r>
    </w:p>
    <w:p w:rsidR="00AE4A21" w:rsidRPr="004D0BEF" w:rsidRDefault="00AE4A21" w:rsidP="00AE4A21">
      <w:pPr>
        <w:suppressAutoHyphens/>
        <w:autoSpaceDE w:val="0"/>
        <w:autoSpaceDN w:val="0"/>
        <w:adjustRightInd w:val="0"/>
        <w:spacing w:before="120" w:after="120"/>
        <w:ind w:left="794" w:hanging="454"/>
        <w:jc w:val="both"/>
        <w:rPr>
          <w:rFonts w:ascii="Comenia Serif" w:hAnsi="Comenia Serif"/>
          <w:b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„(1) Vytvořil-li původce vynález ke splně</w:t>
      </w:r>
      <w:r>
        <w:rPr>
          <w:rFonts w:ascii="Comenia Serif" w:hAnsi="Comenia Serif"/>
          <w:b/>
          <w:sz w:val="24"/>
          <w:szCs w:val="24"/>
        </w:rPr>
        <w:t>ní úkolu z pracovního poměru, z </w:t>
      </w:r>
      <w:r w:rsidRPr="004D0BEF">
        <w:rPr>
          <w:rFonts w:ascii="Comenia Serif" w:hAnsi="Comenia Serif"/>
          <w:b/>
          <w:sz w:val="24"/>
          <w:szCs w:val="24"/>
        </w:rPr>
        <w:t>členského nebo jiného obdobného pracovněprávního vztahu (dále jen pracovní poměr) k</w:t>
      </w:r>
      <w:r w:rsidRPr="004D0BEF">
        <w:rPr>
          <w:rFonts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 xml:space="preserve">zaměstnavateli, přechází právo na patent </w:t>
      </w:r>
      <w:r>
        <w:rPr>
          <w:rFonts w:ascii="Comenia Serif" w:hAnsi="Comenia Serif"/>
          <w:b/>
          <w:sz w:val="24"/>
          <w:szCs w:val="24"/>
        </w:rPr>
        <w:br/>
      </w:r>
      <w:r w:rsidRPr="004D0BEF">
        <w:rPr>
          <w:rFonts w:ascii="Comenia Serif" w:hAnsi="Comenia Serif"/>
          <w:b/>
          <w:sz w:val="24"/>
          <w:szCs w:val="24"/>
        </w:rPr>
        <w:t>na zaměstnavatele, není-li smlouvou stanoveno jinak. Právo na původcovství tím není dotčeno.</w:t>
      </w:r>
    </w:p>
    <w:p w:rsidR="00AE4A21" w:rsidRPr="004D0BEF" w:rsidRDefault="00AE4A21" w:rsidP="00AE4A21">
      <w:pPr>
        <w:suppressAutoHyphens/>
        <w:autoSpaceDE w:val="0"/>
        <w:autoSpaceDN w:val="0"/>
        <w:adjustRightInd w:val="0"/>
        <w:spacing w:before="120" w:after="120"/>
        <w:ind w:left="765" w:hanging="34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(2) Původce, který vytvořil vynález v pracovním poměru, je povinen zaměstnavatele o</w:t>
      </w:r>
      <w:r w:rsidRPr="004D0BEF">
        <w:rPr>
          <w:rFonts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této skutečnosti</w:t>
      </w:r>
      <w:r>
        <w:rPr>
          <w:rFonts w:ascii="Comenia Serif" w:hAnsi="Comenia Serif"/>
          <w:b/>
          <w:sz w:val="24"/>
          <w:szCs w:val="24"/>
        </w:rPr>
        <w:t xml:space="preserve"> neprodleně písemně vyrozumět a </w:t>
      </w:r>
      <w:r w:rsidRPr="004D0BEF">
        <w:rPr>
          <w:rFonts w:ascii="Comenia Serif" w:hAnsi="Comenia Serif"/>
          <w:b/>
          <w:sz w:val="24"/>
          <w:szCs w:val="24"/>
        </w:rPr>
        <w:t>předat mu podklady potřebné k</w:t>
      </w:r>
      <w:r w:rsidRPr="004D0BEF">
        <w:rPr>
          <w:rFonts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posouzen</w:t>
      </w:r>
      <w:r w:rsidRPr="004D0BEF">
        <w:rPr>
          <w:rFonts w:ascii="Comenia Serif" w:hAnsi="Comenia Serif" w:cs="Comenia Serif"/>
          <w:b/>
          <w:sz w:val="24"/>
          <w:szCs w:val="24"/>
        </w:rPr>
        <w:t>í</w:t>
      </w:r>
      <w:r w:rsidRPr="004D0BEF">
        <w:rPr>
          <w:rFonts w:ascii="Comenia Serif" w:hAnsi="Comenia Serif"/>
          <w:b/>
          <w:sz w:val="24"/>
          <w:szCs w:val="24"/>
        </w:rPr>
        <w:t xml:space="preserve"> vyn</w:t>
      </w:r>
      <w:r w:rsidRPr="004D0BEF">
        <w:rPr>
          <w:rFonts w:ascii="Comenia Serif" w:hAnsi="Comenia Serif" w:cs="Comenia Serif"/>
          <w:b/>
          <w:sz w:val="24"/>
          <w:szCs w:val="24"/>
        </w:rPr>
        <w:t>á</w:t>
      </w:r>
      <w:r w:rsidRPr="004D0BEF">
        <w:rPr>
          <w:rFonts w:ascii="Comenia Serif" w:hAnsi="Comenia Serif"/>
          <w:b/>
          <w:sz w:val="24"/>
          <w:szCs w:val="24"/>
        </w:rPr>
        <w:t>lezu.</w:t>
      </w:r>
      <w:r w:rsidRPr="004D0BEF">
        <w:rPr>
          <w:rFonts w:ascii="Comenia Serif" w:hAnsi="Comenia Serif" w:cs="Comenia Serif"/>
          <w:b/>
          <w:sz w:val="24"/>
          <w:szCs w:val="24"/>
        </w:rPr>
        <w:t>“</w:t>
      </w:r>
    </w:p>
    <w:p w:rsidR="00AE4A21" w:rsidRPr="004D0BEF" w:rsidRDefault="00AE4A21" w:rsidP="00AE4A21">
      <w:pPr>
        <w:tabs>
          <w:tab w:val="left" w:pos="1691"/>
        </w:tabs>
        <w:suppressAutoHyphens/>
        <w:spacing w:before="12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(Obdobná povinnost platí i </w:t>
      </w:r>
      <w:r w:rsidRPr="004D0BEF">
        <w:rPr>
          <w:rFonts w:ascii="Comenia Serif" w:hAnsi="Comenia Serif"/>
          <w:sz w:val="24"/>
          <w:szCs w:val="24"/>
        </w:rPr>
        <w:t>pro průmys</w:t>
      </w:r>
      <w:r>
        <w:rPr>
          <w:rFonts w:ascii="Comenia Serif" w:hAnsi="Comenia Serif"/>
          <w:sz w:val="24"/>
          <w:szCs w:val="24"/>
        </w:rPr>
        <w:t>lové vzory a </w:t>
      </w:r>
      <w:r w:rsidRPr="004D0BEF">
        <w:rPr>
          <w:rFonts w:ascii="Comenia Serif" w:hAnsi="Comenia Serif"/>
          <w:sz w:val="24"/>
          <w:szCs w:val="24"/>
        </w:rPr>
        <w:t>užitn</w:t>
      </w:r>
      <w:r>
        <w:rPr>
          <w:rFonts w:ascii="Comenia Serif" w:hAnsi="Comenia Serif"/>
          <w:sz w:val="24"/>
          <w:szCs w:val="24"/>
        </w:rPr>
        <w:t>é vzory, dle zákonů č. 478/1992 </w:t>
      </w:r>
      <w:r w:rsidRPr="004D0BEF">
        <w:rPr>
          <w:rFonts w:ascii="Comenia Serif" w:hAnsi="Comenia Serif"/>
          <w:sz w:val="24"/>
          <w:szCs w:val="24"/>
        </w:rPr>
        <w:t>Sb. a</w:t>
      </w:r>
      <w:r w:rsidRPr="004D0BEF">
        <w:rPr>
          <w:rFonts w:cs="Calibri"/>
          <w:sz w:val="24"/>
          <w:szCs w:val="24"/>
        </w:rPr>
        <w:t> </w:t>
      </w:r>
      <w:r>
        <w:rPr>
          <w:rFonts w:ascii="Comenia Serif" w:hAnsi="Comenia Serif"/>
          <w:sz w:val="24"/>
          <w:szCs w:val="24"/>
        </w:rPr>
        <w:t>207/2000 </w:t>
      </w:r>
      <w:r w:rsidRPr="004D0BEF">
        <w:rPr>
          <w:rFonts w:ascii="Comenia Serif" w:hAnsi="Comenia Serif"/>
          <w:sz w:val="24"/>
          <w:szCs w:val="24"/>
        </w:rPr>
        <w:t>Sb.)</w:t>
      </w:r>
    </w:p>
    <w:p w:rsidR="00AE4A21" w:rsidRPr="004D0BEF" w:rsidRDefault="00AE4A21" w:rsidP="00AE4A21">
      <w:pPr>
        <w:tabs>
          <w:tab w:val="left" w:pos="1691"/>
        </w:tabs>
        <w:suppressAutoHyphens/>
        <w:spacing w:before="48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lastRenderedPageBreak/>
        <w:t>Zákon č. 262/2006 </w:t>
      </w:r>
      <w:r w:rsidRPr="004D0BEF">
        <w:rPr>
          <w:rFonts w:ascii="Comenia Serif" w:hAnsi="Comenia Serif"/>
          <w:sz w:val="24"/>
          <w:szCs w:val="24"/>
        </w:rPr>
        <w:t>Sb., zákoník práce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stanovuje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bodu b) odstavce (1) </w:t>
      </w:r>
      <w:r w:rsidRPr="004D0BEF">
        <w:rPr>
          <w:rFonts w:ascii="Comenia Serif" w:hAnsi="Comenia Serif" w:cs="Comenia Serif"/>
        </w:rPr>
        <w:t>§</w:t>
      </w:r>
      <w:r>
        <w:rPr>
          <w:rFonts w:ascii="Comenia Serif" w:hAnsi="Comenia Serif" w:cs="Comenia Serif"/>
        </w:rPr>
        <w:t> </w:t>
      </w:r>
      <w:r w:rsidRPr="004D0BEF">
        <w:rPr>
          <w:rFonts w:ascii="Comenia Serif" w:hAnsi="Comenia Serif"/>
        </w:rPr>
        <w:t>55 mo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nost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stnavatele okam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zru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it 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pom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r:</w:t>
      </w:r>
    </w:p>
    <w:p w:rsidR="00AE4A21" w:rsidRPr="004D0BEF" w:rsidRDefault="00AE4A21" w:rsidP="00AE4A2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„porušil-li zamě</w:t>
      </w:r>
      <w:r>
        <w:rPr>
          <w:rFonts w:ascii="Comenia Serif" w:hAnsi="Comenia Serif"/>
          <w:b/>
        </w:rPr>
        <w:t>stnanec povinnost vyplývající z </w:t>
      </w:r>
      <w:r w:rsidRPr="004D0BEF">
        <w:rPr>
          <w:rFonts w:ascii="Comenia Serif" w:hAnsi="Comenia Serif"/>
          <w:b/>
        </w:rPr>
        <w:t>právních předpisů vztahujících se k</w:t>
      </w:r>
      <w:r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jím vykonávané práci zvlášť hrubým způsobem.“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250 odst. </w:t>
      </w:r>
      <w:r w:rsidRPr="004D0BEF">
        <w:rPr>
          <w:rFonts w:ascii="Comenia Serif" w:hAnsi="Comenia Serif"/>
        </w:rPr>
        <w:t>1:</w:t>
      </w:r>
    </w:p>
    <w:p w:rsidR="00AE4A21" w:rsidRPr="004D0BEF" w:rsidRDefault="00AE4A21" w:rsidP="00AE4A2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„Zaměstnanec odpovídá zaměstnavateli za škodu, kterou mu způsobil zaviněným porušením povinností při</w:t>
      </w:r>
      <w:r>
        <w:rPr>
          <w:rFonts w:ascii="Comenia Serif" w:hAnsi="Comenia Serif"/>
          <w:b/>
        </w:rPr>
        <w:t xml:space="preserve"> plnění pracovních úkolů nebo v </w:t>
      </w:r>
      <w:r w:rsidRPr="004D0BEF">
        <w:rPr>
          <w:rFonts w:ascii="Comenia Serif" w:hAnsi="Comenia Serif"/>
          <w:b/>
        </w:rPr>
        <w:t>přímé souvislosti s ním.“</w:t>
      </w:r>
    </w:p>
    <w:p w:rsidR="00AE4A21" w:rsidRPr="004D0BEF" w:rsidRDefault="00AE4A21" w:rsidP="00AE4A21">
      <w:pPr>
        <w:pStyle w:val="Norml12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</w:t>
      </w:r>
      <w:r w:rsidRPr="004D0BEF">
        <w:rPr>
          <w:rFonts w:ascii="Comenia Serif" w:hAnsi="Comenia Serif"/>
        </w:rPr>
        <w:t>257:</w:t>
      </w:r>
    </w:p>
    <w:p w:rsidR="00AE4A21" w:rsidRPr="004D0BEF" w:rsidRDefault="00AE4A21" w:rsidP="00AE4A2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</w:rPr>
        <w:t>„</w:t>
      </w:r>
      <w:r w:rsidRPr="004D0BEF">
        <w:rPr>
          <w:rFonts w:ascii="Comenia Serif" w:hAnsi="Comenia Serif"/>
          <w:b/>
        </w:rPr>
        <w:t>Výše požad</w:t>
      </w:r>
      <w:r>
        <w:rPr>
          <w:rFonts w:ascii="Comenia Serif" w:hAnsi="Comenia Serif"/>
          <w:b/>
        </w:rPr>
        <w:t>ované náhrady škody způsobené z nedbalosti nesmí přesáhnout u </w:t>
      </w:r>
      <w:r w:rsidRPr="004D0BEF">
        <w:rPr>
          <w:rFonts w:ascii="Comenia Serif" w:hAnsi="Comenia Serif"/>
          <w:b/>
        </w:rPr>
        <w:t xml:space="preserve">jednotlivého zaměstnance částku rovnající se </w:t>
      </w:r>
      <w:proofErr w:type="spellStart"/>
      <w:r w:rsidRPr="004D0BEF">
        <w:rPr>
          <w:rFonts w:ascii="Comenia Serif" w:hAnsi="Comenia Serif"/>
          <w:b/>
        </w:rPr>
        <w:t>čtyřapůlnásobku</w:t>
      </w:r>
      <w:proofErr w:type="spellEnd"/>
      <w:r w:rsidRPr="004D0BEF">
        <w:rPr>
          <w:rFonts w:ascii="Comenia Serif" w:hAnsi="Comenia Serif"/>
          <w:b/>
        </w:rPr>
        <w:t xml:space="preserve"> jeho průměrného měsíčního výdělku před porušením povinnosti, kterým způsobil škodu. Toto omezení neplatí, byla-li škoda způsobena úmyslně.“</w:t>
      </w:r>
    </w:p>
    <w:p w:rsidR="00AE4A21" w:rsidRPr="004D0BEF" w:rsidRDefault="00AE4A21" w:rsidP="00AE4A21">
      <w:pPr>
        <w:suppressAutoHyphens/>
        <w:spacing w:before="1200" w:after="1200"/>
        <w:ind w:left="5387" w:hanging="5387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V</w:t>
      </w:r>
      <w:r w:rsidRPr="004D0BEF">
        <w:rPr>
          <w:rFonts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Hradci Kr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>lov</w:t>
      </w:r>
      <w:r w:rsidRPr="004D0BEF">
        <w:rPr>
          <w:rFonts w:ascii="Comenia Serif" w:hAnsi="Comenia Serif" w:cs="Comenia Serif"/>
          <w:sz w:val="24"/>
          <w:szCs w:val="24"/>
        </w:rPr>
        <w:t>é</w:t>
      </w:r>
      <w:r w:rsidRPr="004D0BEF">
        <w:rPr>
          <w:rFonts w:ascii="Comenia Serif" w:hAnsi="Comenia Serif"/>
          <w:sz w:val="24"/>
          <w:szCs w:val="24"/>
        </w:rPr>
        <w:t xml:space="preserve">, dne </w:t>
      </w:r>
      <w:r w:rsidRPr="009F083D">
        <w:rPr>
          <w:rFonts w:ascii="Comenia Serif" w:hAnsi="Comenia Serif"/>
          <w:sz w:val="24"/>
          <w:szCs w:val="24"/>
          <w:highlight w:val="lightGray"/>
        </w:rPr>
        <w:t>[datum]</w:t>
      </w:r>
      <w:r w:rsidRPr="004D0BEF">
        <w:rPr>
          <w:rFonts w:ascii="Comenia Serif" w:hAnsi="Comenia Serif"/>
          <w:sz w:val="24"/>
          <w:szCs w:val="24"/>
        </w:rPr>
        <w:tab/>
        <w:t>Svým podpisem stvrzuji, že jsem byl s</w:t>
      </w:r>
      <w:r w:rsidRPr="004D0BEF">
        <w:rPr>
          <w:rFonts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obsahem pou</w:t>
      </w:r>
      <w:r w:rsidRPr="004D0BEF">
        <w:rPr>
          <w:rFonts w:ascii="Comenia Serif" w:hAnsi="Comenia Serif" w:cs="Comenia Serif"/>
          <w:sz w:val="24"/>
          <w:szCs w:val="24"/>
        </w:rPr>
        <w:t>č</w:t>
      </w:r>
      <w:r w:rsidRPr="004D0BEF">
        <w:rPr>
          <w:rFonts w:ascii="Comenia Serif" w:hAnsi="Comenia Serif"/>
          <w:sz w:val="24"/>
          <w:szCs w:val="24"/>
        </w:rPr>
        <w:t>en</w:t>
      </w:r>
      <w:r w:rsidRPr="004D0BEF">
        <w:rPr>
          <w:rFonts w:ascii="Comenia Serif" w:hAnsi="Comenia Serif" w:cs="Comenia Serif"/>
          <w:sz w:val="24"/>
          <w:szCs w:val="24"/>
        </w:rPr>
        <w:t>í</w:t>
      </w:r>
      <w:r w:rsidRPr="004D0BEF">
        <w:rPr>
          <w:rFonts w:ascii="Comenia Serif" w:hAnsi="Comenia Serif"/>
          <w:sz w:val="24"/>
          <w:szCs w:val="24"/>
        </w:rPr>
        <w:t xml:space="preserve"> sezn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 xml:space="preserve">men </w:t>
      </w:r>
      <w:r w:rsidRPr="004D0BEF">
        <w:rPr>
          <w:rFonts w:ascii="Comenia Serif" w:hAnsi="Comenia Serif"/>
          <w:sz w:val="24"/>
          <w:szCs w:val="24"/>
        </w:rPr>
        <w:br/>
        <w:t>a rozumím mu.</w:t>
      </w:r>
    </w:p>
    <w:p w:rsidR="00AE4A21" w:rsidRPr="004D0BEF" w:rsidRDefault="00AE4A21" w:rsidP="00AE4A21">
      <w:pPr>
        <w:tabs>
          <w:tab w:val="left" w:pos="5387"/>
        </w:tabs>
        <w:suppressAutoHyphens/>
        <w:spacing w:before="1200" w:after="12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……………………..…………….</w:t>
      </w:r>
      <w:r w:rsidRPr="004D0BEF">
        <w:rPr>
          <w:rFonts w:ascii="Comenia Serif" w:hAnsi="Comenia Serif"/>
          <w:sz w:val="24"/>
          <w:szCs w:val="24"/>
        </w:rPr>
        <w:tab/>
        <w:t>……………………..…………….</w:t>
      </w:r>
    </w:p>
    <w:p w:rsidR="00AE4A21" w:rsidRPr="00CC7058" w:rsidRDefault="00AE4A21" w:rsidP="00AE4A21">
      <w:pPr>
        <w:tabs>
          <w:tab w:val="left" w:pos="5387"/>
        </w:tabs>
        <w:suppressAutoHyphens/>
        <w:spacing w:before="120" w:after="120"/>
        <w:jc w:val="both"/>
        <w:rPr>
          <w:rFonts w:ascii="Comenia Serif" w:hAnsi="Comenia Serif"/>
        </w:rPr>
      </w:pPr>
      <w:r w:rsidRPr="009F083D">
        <w:rPr>
          <w:rFonts w:ascii="Comenia Serif" w:hAnsi="Comenia Serif"/>
          <w:highlight w:val="lightGray"/>
        </w:rPr>
        <w:t>[Jméno nadřízeného zaměstnance]</w:t>
      </w:r>
      <w:r w:rsidRPr="00CC7058">
        <w:rPr>
          <w:rFonts w:ascii="Comenia Serif" w:hAnsi="Comenia Serif"/>
        </w:rPr>
        <w:tab/>
      </w:r>
      <w:r w:rsidRPr="009F083D">
        <w:rPr>
          <w:rFonts w:ascii="Comenia Serif" w:hAnsi="Comenia Serif"/>
          <w:highlight w:val="lightGray"/>
        </w:rPr>
        <w:t>[Jméno poučeného zaměstnance]</w:t>
      </w:r>
    </w:p>
    <w:p w:rsidR="00AE4A21" w:rsidRDefault="00AE4A21" w:rsidP="00AE4A21">
      <w:pPr>
        <w:tabs>
          <w:tab w:val="left" w:pos="1691"/>
          <w:tab w:val="left" w:pos="5387"/>
        </w:tabs>
        <w:suppressAutoHyphens/>
        <w:spacing w:after="480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Nadřízený poučeného zaměstnance</w:t>
      </w:r>
      <w:r w:rsidRPr="004D0BEF">
        <w:rPr>
          <w:rFonts w:ascii="Comenia Serif" w:hAnsi="Comenia Serif"/>
          <w:sz w:val="24"/>
          <w:szCs w:val="24"/>
        </w:rPr>
        <w:tab/>
        <w:t>Poučený zaměstnane</w:t>
      </w:r>
      <w:r>
        <w:rPr>
          <w:rFonts w:ascii="Comenia Serif" w:hAnsi="Comenia Serif"/>
          <w:sz w:val="24"/>
          <w:szCs w:val="24"/>
        </w:rPr>
        <w:t>c</w:t>
      </w:r>
    </w:p>
    <w:p w:rsidR="005A6535" w:rsidRDefault="005A6535"/>
    <w:sectPr w:rsidR="005A65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1D" w:rsidRDefault="001F2E1D" w:rsidP="00AE4A21">
      <w:r>
        <w:separator/>
      </w:r>
    </w:p>
  </w:endnote>
  <w:endnote w:type="continuationSeparator" w:id="0">
    <w:p w:rsidR="001F2E1D" w:rsidRDefault="001F2E1D" w:rsidP="00A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1D" w:rsidRDefault="001F2E1D" w:rsidP="00AE4A21">
      <w:r>
        <w:separator/>
      </w:r>
    </w:p>
  </w:footnote>
  <w:footnote w:type="continuationSeparator" w:id="0">
    <w:p w:rsidR="001F2E1D" w:rsidRDefault="001F2E1D" w:rsidP="00AE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21" w:rsidRPr="0034707C" w:rsidRDefault="00AE4A21" w:rsidP="00AE4A21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</w:t>
    </w:r>
    <w:proofErr w:type="gramStart"/>
    <w:r>
      <w:rPr>
        <w:rFonts w:ascii="Comenia Sans" w:hAnsi="Comenia Sans"/>
      </w:rPr>
      <w:t>č. 4 Rektorského</w:t>
    </w:r>
    <w:proofErr w:type="gramEnd"/>
    <w:r>
      <w:rPr>
        <w:rFonts w:ascii="Comenia Sans" w:hAnsi="Comenia Sans"/>
      </w:rPr>
      <w:t xml:space="preserve"> výnosu č. 8/2018</w:t>
    </w:r>
  </w:p>
  <w:p w:rsidR="00AE4A21" w:rsidRDefault="00AE4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21"/>
    <w:rsid w:val="001F2E1D"/>
    <w:rsid w:val="005A6535"/>
    <w:rsid w:val="00A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12">
    <w:name w:val="Normál_12"/>
    <w:rsid w:val="00AE4A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E4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A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A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A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A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12">
    <w:name w:val="Normál_12"/>
    <w:rsid w:val="00AE4A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E4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A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A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A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A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Došková Soňa</dc:creator>
  <cp:lastModifiedBy>Došková Soňa</cp:lastModifiedBy>
  <cp:revision>1</cp:revision>
  <dcterms:created xsi:type="dcterms:W3CDTF">2018-04-02T07:51:00Z</dcterms:created>
  <dcterms:modified xsi:type="dcterms:W3CDTF">2018-04-02T07:52:00Z</dcterms:modified>
</cp:coreProperties>
</file>