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9125" w14:textId="7A511E2B" w:rsidR="00E8504B" w:rsidRPr="00993D01" w:rsidRDefault="0064444B" w:rsidP="006B04FD">
      <w:pPr>
        <w:pStyle w:val="Nzev"/>
        <w:pBdr>
          <w:top w:val="none" w:sz="0" w:space="0" w:color="auto"/>
        </w:pBdr>
        <w:spacing w:before="480" w:after="240"/>
        <w:jc w:val="center"/>
        <w:rPr>
          <w:rFonts w:ascii="Comenia Sans" w:eastAsia="Noto Sans CJK SC" w:hAnsi="Comenia Sans" w:cs="Lohit Devanagari"/>
          <w:b/>
          <w:smallCaps w:val="0"/>
          <w:color w:val="auto"/>
          <w:kern w:val="2"/>
          <w:sz w:val="40"/>
          <w:szCs w:val="40"/>
          <w:lang w:eastAsia="zh-CN" w:bidi="hi-IN"/>
        </w:rPr>
      </w:pPr>
      <w:r w:rsidRPr="00993D01">
        <w:rPr>
          <w:rFonts w:ascii="Comenia Sans" w:eastAsia="Noto Sans CJK SC" w:hAnsi="Comenia Sans" w:cs="Lohit Devanagari"/>
          <w:b/>
          <w:smallCaps w:val="0"/>
          <w:color w:val="auto"/>
          <w:kern w:val="2"/>
          <w:sz w:val="40"/>
          <w:szCs w:val="40"/>
          <w:lang w:eastAsia="zh-CN" w:bidi="hi-IN"/>
        </w:rPr>
        <w:t>Informace o obsahu pracovního</w:t>
      </w:r>
      <w:r w:rsidR="00A01CA4" w:rsidRPr="00993D01">
        <w:rPr>
          <w:rFonts w:ascii="Comenia Sans" w:eastAsia="Noto Sans CJK SC" w:hAnsi="Comenia Sans" w:cs="Lohit Devanagari"/>
          <w:b/>
          <w:smallCaps w:val="0"/>
          <w:color w:val="auto"/>
          <w:kern w:val="2"/>
          <w:sz w:val="40"/>
          <w:szCs w:val="40"/>
          <w:lang w:eastAsia="zh-CN" w:bidi="hi-IN"/>
        </w:rPr>
        <w:t> </w:t>
      </w:r>
      <w:r w:rsidRPr="00993D01">
        <w:rPr>
          <w:rFonts w:ascii="Comenia Sans" w:eastAsia="Noto Sans CJK SC" w:hAnsi="Comenia Sans" w:cs="Lohit Devanagari"/>
          <w:b/>
          <w:smallCaps w:val="0"/>
          <w:color w:val="auto"/>
          <w:kern w:val="2"/>
          <w:sz w:val="40"/>
          <w:szCs w:val="40"/>
          <w:lang w:eastAsia="zh-CN" w:bidi="hi-IN"/>
        </w:rPr>
        <w:t>poměru</w:t>
      </w:r>
      <w:r w:rsidR="00A01CA4" w:rsidRPr="00993D01">
        <w:rPr>
          <w:rFonts w:ascii="Comenia Sans" w:eastAsia="Noto Sans CJK SC" w:hAnsi="Comenia Sans" w:cs="Lohit Devanagari"/>
          <w:b/>
          <w:smallCaps w:val="0"/>
          <w:color w:val="auto"/>
          <w:kern w:val="2"/>
          <w:sz w:val="40"/>
          <w:szCs w:val="40"/>
          <w:lang w:eastAsia="zh-CN" w:bidi="hi-IN"/>
        </w:rPr>
        <w:t> </w:t>
      </w:r>
      <w:r w:rsidRPr="00993D01">
        <w:rPr>
          <w:rFonts w:ascii="Comenia Sans" w:eastAsia="Noto Sans CJK SC" w:hAnsi="Comenia Sans" w:cs="Lohit Devanagari"/>
          <w:b/>
          <w:smallCaps w:val="0"/>
          <w:color w:val="auto"/>
          <w:kern w:val="2"/>
          <w:sz w:val="40"/>
          <w:szCs w:val="40"/>
          <w:lang w:eastAsia="zh-CN" w:bidi="hi-IN"/>
        </w:rPr>
        <w:t>/</w:t>
      </w:r>
      <w:r w:rsidR="00647156" w:rsidRPr="00993D01">
        <w:rPr>
          <w:rFonts w:ascii="Comenia Sans" w:eastAsia="Noto Sans CJK SC" w:hAnsi="Comenia Sans" w:cs="Lohit Devanagari"/>
          <w:b/>
          <w:smallCaps w:val="0"/>
          <w:color w:val="auto"/>
          <w:kern w:val="2"/>
          <w:sz w:val="40"/>
          <w:szCs w:val="40"/>
          <w:lang w:eastAsia="zh-CN" w:bidi="hi-IN"/>
        </w:rPr>
        <w:t> </w:t>
      </w:r>
      <w:r w:rsidRPr="00993D01">
        <w:rPr>
          <w:rFonts w:ascii="Comenia Sans" w:eastAsia="Noto Sans CJK SC" w:hAnsi="Comenia Sans" w:cs="Lohit Devanagari"/>
          <w:b/>
          <w:smallCaps w:val="0"/>
          <w:color w:val="auto"/>
          <w:kern w:val="2"/>
          <w:sz w:val="40"/>
          <w:szCs w:val="40"/>
          <w:lang w:eastAsia="zh-CN" w:bidi="hi-IN"/>
        </w:rPr>
        <w:t>právního vztahu založeného dohodami o pracích</w:t>
      </w:r>
      <w:r w:rsidR="00470398">
        <w:rPr>
          <w:rFonts w:ascii="Comenia Sans" w:eastAsia="Noto Sans CJK SC" w:hAnsi="Comenia Sans" w:cs="Lohit Devanagari"/>
          <w:b/>
          <w:smallCaps w:val="0"/>
          <w:color w:val="auto"/>
          <w:kern w:val="2"/>
          <w:sz w:val="40"/>
          <w:szCs w:val="40"/>
          <w:lang w:eastAsia="zh-CN" w:bidi="hi-IN"/>
        </w:rPr>
        <w:t xml:space="preserve"> </w:t>
      </w:r>
      <w:r w:rsidRPr="00993D01">
        <w:rPr>
          <w:rFonts w:ascii="Comenia Sans" w:eastAsia="Noto Sans CJK SC" w:hAnsi="Comenia Sans" w:cs="Lohit Devanagari"/>
          <w:b/>
          <w:smallCaps w:val="0"/>
          <w:color w:val="auto"/>
          <w:kern w:val="2"/>
          <w:sz w:val="40"/>
          <w:szCs w:val="40"/>
          <w:lang w:eastAsia="zh-CN" w:bidi="hi-IN"/>
        </w:rPr>
        <w:t>konaných</w:t>
      </w:r>
      <w:r w:rsidR="00A01CA4" w:rsidRPr="00993D01">
        <w:rPr>
          <w:rFonts w:ascii="Comenia Sans" w:eastAsia="Noto Sans CJK SC" w:hAnsi="Comenia Sans" w:cs="Lohit Devanagari"/>
          <w:b/>
          <w:smallCaps w:val="0"/>
          <w:color w:val="auto"/>
          <w:kern w:val="2"/>
          <w:sz w:val="40"/>
          <w:szCs w:val="40"/>
          <w:lang w:eastAsia="zh-CN" w:bidi="hi-IN"/>
        </w:rPr>
        <w:t> </w:t>
      </w:r>
      <w:r w:rsidRPr="00993D01">
        <w:rPr>
          <w:rFonts w:ascii="Comenia Sans" w:eastAsia="Noto Sans CJK SC" w:hAnsi="Comenia Sans" w:cs="Lohit Devanagari"/>
          <w:b/>
          <w:smallCaps w:val="0"/>
          <w:color w:val="auto"/>
          <w:kern w:val="2"/>
          <w:sz w:val="40"/>
          <w:szCs w:val="40"/>
          <w:lang w:eastAsia="zh-CN" w:bidi="hi-IN"/>
        </w:rPr>
        <w:t>mimo</w:t>
      </w:r>
      <w:r w:rsidR="00470398">
        <w:rPr>
          <w:rFonts w:ascii="Comenia Sans" w:eastAsia="Noto Sans CJK SC" w:hAnsi="Comenia Sans" w:cs="Lohit Devanagari"/>
          <w:b/>
          <w:smallCaps w:val="0"/>
          <w:color w:val="auto"/>
          <w:kern w:val="2"/>
          <w:sz w:val="40"/>
          <w:szCs w:val="40"/>
          <w:lang w:eastAsia="zh-CN" w:bidi="hi-IN"/>
        </w:rPr>
        <w:t> </w:t>
      </w:r>
      <w:r w:rsidRPr="00993D01">
        <w:rPr>
          <w:rFonts w:ascii="Comenia Sans" w:eastAsia="Noto Sans CJK SC" w:hAnsi="Comenia Sans" w:cs="Lohit Devanagari"/>
          <w:b/>
          <w:smallCaps w:val="0"/>
          <w:color w:val="auto"/>
          <w:kern w:val="2"/>
          <w:sz w:val="40"/>
          <w:szCs w:val="40"/>
          <w:lang w:eastAsia="zh-CN" w:bidi="hi-IN"/>
        </w:rPr>
        <w:t>pracovní poměr</w:t>
      </w:r>
      <w:r w:rsidR="004D7D7C" w:rsidRPr="00993D01">
        <w:rPr>
          <w:rFonts w:ascii="Comenia Sans" w:eastAsia="Noto Sans CJK SC" w:hAnsi="Comenia Sans" w:cs="Lohit Devanagari"/>
          <w:b/>
          <w:smallCaps w:val="0"/>
          <w:color w:val="auto"/>
          <w:kern w:val="2"/>
          <w:sz w:val="40"/>
          <w:szCs w:val="40"/>
          <w:lang w:eastAsia="zh-CN" w:bidi="hi-IN"/>
        </w:rPr>
        <w:t xml:space="preserve"> podle §</w:t>
      </w:r>
      <w:r w:rsidR="00A01CA4" w:rsidRPr="00993D01">
        <w:rPr>
          <w:rFonts w:ascii="Comenia Sans" w:eastAsia="Noto Sans CJK SC" w:hAnsi="Comenia Sans" w:cs="Lohit Devanagari"/>
          <w:b/>
          <w:smallCaps w:val="0"/>
          <w:color w:val="auto"/>
          <w:kern w:val="2"/>
          <w:sz w:val="40"/>
          <w:szCs w:val="40"/>
          <w:lang w:eastAsia="zh-CN" w:bidi="hi-IN"/>
        </w:rPr>
        <w:t> </w:t>
      </w:r>
      <w:r w:rsidR="004D7D7C" w:rsidRPr="00993D01">
        <w:rPr>
          <w:rFonts w:ascii="Comenia Sans" w:eastAsia="Noto Sans CJK SC" w:hAnsi="Comenia Sans" w:cs="Lohit Devanagari"/>
          <w:b/>
          <w:smallCaps w:val="0"/>
          <w:color w:val="auto"/>
          <w:kern w:val="2"/>
          <w:sz w:val="40"/>
          <w:szCs w:val="40"/>
          <w:lang w:eastAsia="zh-CN" w:bidi="hi-IN"/>
        </w:rPr>
        <w:t>37</w:t>
      </w:r>
      <w:r w:rsidR="00A01CA4" w:rsidRPr="00993D01">
        <w:rPr>
          <w:rFonts w:ascii="Comenia Sans" w:eastAsia="Noto Sans CJK SC" w:hAnsi="Comenia Sans" w:cs="Lohit Devanagari"/>
          <w:b/>
          <w:smallCaps w:val="0"/>
          <w:color w:val="auto"/>
          <w:kern w:val="2"/>
          <w:sz w:val="40"/>
          <w:szCs w:val="40"/>
          <w:lang w:eastAsia="zh-CN" w:bidi="hi-IN"/>
        </w:rPr>
        <w:t> </w:t>
      </w:r>
      <w:r w:rsidR="004D7D7C" w:rsidRPr="00993D01">
        <w:rPr>
          <w:rFonts w:ascii="Comenia Sans" w:eastAsia="Noto Sans CJK SC" w:hAnsi="Comenia Sans" w:cs="Lohit Devanagari"/>
          <w:b/>
          <w:smallCaps w:val="0"/>
          <w:color w:val="auto"/>
          <w:kern w:val="2"/>
          <w:sz w:val="40"/>
          <w:szCs w:val="40"/>
          <w:lang w:eastAsia="zh-CN" w:bidi="hi-IN"/>
        </w:rPr>
        <w:t>/</w:t>
      </w:r>
      <w:r w:rsidR="00A01CA4" w:rsidRPr="00993D01">
        <w:rPr>
          <w:rFonts w:ascii="Comenia Sans" w:eastAsia="Noto Sans CJK SC" w:hAnsi="Comenia Sans" w:cs="Lohit Devanagari"/>
          <w:b/>
          <w:smallCaps w:val="0"/>
          <w:color w:val="auto"/>
          <w:kern w:val="2"/>
          <w:sz w:val="40"/>
          <w:szCs w:val="40"/>
          <w:lang w:eastAsia="zh-CN" w:bidi="hi-IN"/>
        </w:rPr>
        <w:t> </w:t>
      </w:r>
      <w:r w:rsidR="004D7D7C" w:rsidRPr="00993D01">
        <w:rPr>
          <w:rFonts w:ascii="Comenia Sans" w:eastAsia="Noto Sans CJK SC" w:hAnsi="Comenia Sans" w:cs="Lohit Devanagari"/>
          <w:b/>
          <w:smallCaps w:val="0"/>
          <w:color w:val="auto"/>
          <w:kern w:val="2"/>
          <w:sz w:val="40"/>
          <w:szCs w:val="40"/>
          <w:lang w:eastAsia="zh-CN" w:bidi="hi-IN"/>
        </w:rPr>
        <w:t>§</w:t>
      </w:r>
      <w:r w:rsidR="00A01CA4" w:rsidRPr="00993D01">
        <w:rPr>
          <w:rFonts w:ascii="Comenia Sans" w:eastAsia="Noto Sans CJK SC" w:hAnsi="Comenia Sans" w:cs="Lohit Devanagari"/>
          <w:b/>
          <w:smallCaps w:val="0"/>
          <w:color w:val="auto"/>
          <w:kern w:val="2"/>
          <w:sz w:val="40"/>
          <w:szCs w:val="40"/>
          <w:lang w:eastAsia="zh-CN" w:bidi="hi-IN"/>
        </w:rPr>
        <w:t> </w:t>
      </w:r>
      <w:r w:rsidR="004D7D7C" w:rsidRPr="00993D01">
        <w:rPr>
          <w:rFonts w:ascii="Comenia Sans" w:eastAsia="Noto Sans CJK SC" w:hAnsi="Comenia Sans" w:cs="Lohit Devanagari"/>
          <w:b/>
          <w:smallCaps w:val="0"/>
          <w:color w:val="auto"/>
          <w:kern w:val="2"/>
          <w:sz w:val="40"/>
          <w:szCs w:val="40"/>
          <w:lang w:eastAsia="zh-CN" w:bidi="hi-IN"/>
        </w:rPr>
        <w:t>77</w:t>
      </w:r>
      <w:r w:rsidR="00A01CA4" w:rsidRPr="00993D01">
        <w:rPr>
          <w:rFonts w:ascii="Comenia Sans" w:eastAsia="Noto Sans CJK SC" w:hAnsi="Comenia Sans" w:cs="Lohit Devanagari"/>
          <w:b/>
          <w:smallCaps w:val="0"/>
          <w:color w:val="auto"/>
          <w:kern w:val="2"/>
          <w:sz w:val="40"/>
          <w:szCs w:val="40"/>
          <w:lang w:eastAsia="zh-CN" w:bidi="hi-IN"/>
        </w:rPr>
        <w:t> </w:t>
      </w:r>
      <w:r w:rsidR="004D7D7C" w:rsidRPr="00993D01">
        <w:rPr>
          <w:rFonts w:ascii="Comenia Sans" w:eastAsia="Noto Sans CJK SC" w:hAnsi="Comenia Sans" w:cs="Lohit Devanagari"/>
          <w:b/>
          <w:smallCaps w:val="0"/>
          <w:color w:val="auto"/>
          <w:kern w:val="2"/>
          <w:sz w:val="40"/>
          <w:szCs w:val="40"/>
          <w:lang w:eastAsia="zh-CN" w:bidi="hi-IN"/>
        </w:rPr>
        <w:t>zákoníku práce</w:t>
      </w:r>
    </w:p>
    <w:p w14:paraId="48FCF9C7" w14:textId="7A5744A9" w:rsidR="00E8504B" w:rsidRPr="00822EEA" w:rsidRDefault="00481CD8" w:rsidP="006B04FD">
      <w:pPr>
        <w:pStyle w:val="Zkladntext3"/>
        <w:suppressAutoHyphens/>
        <w:spacing w:after="0"/>
        <w:jc w:val="center"/>
        <w:rPr>
          <w:rFonts w:ascii="Comenia Sans" w:hAnsi="Comenia Sans"/>
          <w:b/>
          <w:noProof/>
          <w:sz w:val="20"/>
          <w:szCs w:val="20"/>
        </w:rPr>
      </w:pPr>
      <w:r w:rsidRPr="00822EEA">
        <w:rPr>
          <w:rFonts w:ascii="Comenia Sans" w:hAnsi="Comenia Sans"/>
          <w:b/>
          <w:noProof/>
          <w:sz w:val="20"/>
          <w:szCs w:val="20"/>
        </w:rPr>
        <w:drawing>
          <wp:anchor distT="0" distB="0" distL="114300" distR="114300" simplePos="0" relativeHeight="251661312" behindDoc="1" locked="0" layoutInCell="1" allowOverlap="1" wp14:anchorId="5DDBB9C0" wp14:editId="1B8A41C4">
            <wp:simplePos x="0" y="0"/>
            <wp:positionH relativeFrom="leftMargin">
              <wp:posOffset>122555</wp:posOffset>
            </wp:positionH>
            <wp:positionV relativeFrom="topMargin">
              <wp:posOffset>245110</wp:posOffset>
            </wp:positionV>
            <wp:extent cx="2494800" cy="637200"/>
            <wp:effectExtent l="0" t="0" r="0" b="0"/>
            <wp:wrapNone/>
            <wp:docPr id="4"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94800" cy="637200"/>
                    </a:xfrm>
                    <a:prstGeom prst="rect">
                      <a:avLst/>
                    </a:prstGeom>
                  </pic:spPr>
                </pic:pic>
              </a:graphicData>
            </a:graphic>
            <wp14:sizeRelH relativeFrom="margin">
              <wp14:pctWidth>0</wp14:pctWidth>
            </wp14:sizeRelH>
            <wp14:sizeRelV relativeFrom="margin">
              <wp14:pctHeight>0</wp14:pctHeight>
            </wp14:sizeRelV>
          </wp:anchor>
        </w:drawing>
      </w:r>
      <w:r w:rsidR="0064444B" w:rsidRPr="0064444B">
        <w:rPr>
          <w:rFonts w:ascii="Comenia Sans" w:hAnsi="Comenia Sans"/>
          <w:b/>
          <w:noProof/>
          <w:sz w:val="20"/>
          <w:szCs w:val="20"/>
        </w:rPr>
        <w:t>uzavřeného PS / DPP / DPČ / čj.:</w:t>
      </w:r>
      <w:r w:rsidR="00807321">
        <w:rPr>
          <w:rFonts w:ascii="Comenia Sans" w:hAnsi="Comenia Sans"/>
          <w:b/>
          <w:noProof/>
          <w:sz w:val="20"/>
          <w:szCs w:val="20"/>
        </w:rPr>
        <w:t xml:space="preserve"> </w:t>
      </w:r>
      <w:r w:rsidR="006C5FC2">
        <w:rPr>
          <w:rFonts w:ascii="Comenia Sans" w:hAnsi="Comenia Sans"/>
          <w:b/>
          <w:noProof/>
          <w:sz w:val="20"/>
          <w:szCs w:val="20"/>
        </w:rPr>
        <w:fldChar w:fldCharType="begin">
          <w:ffData>
            <w:name w:val="Text1"/>
            <w:enabled/>
            <w:calcOnExit w:val="0"/>
            <w:textInput/>
          </w:ffData>
        </w:fldChar>
      </w:r>
      <w:bookmarkStart w:id="0" w:name="Text1"/>
      <w:r w:rsidR="006C5FC2">
        <w:rPr>
          <w:rFonts w:ascii="Comenia Sans" w:hAnsi="Comenia Sans"/>
          <w:b/>
          <w:noProof/>
          <w:sz w:val="20"/>
          <w:szCs w:val="20"/>
        </w:rPr>
        <w:instrText xml:space="preserve"> FORMTEXT </w:instrText>
      </w:r>
      <w:r w:rsidR="006C5FC2">
        <w:rPr>
          <w:rFonts w:ascii="Comenia Sans" w:hAnsi="Comenia Sans"/>
          <w:b/>
          <w:noProof/>
          <w:sz w:val="20"/>
          <w:szCs w:val="20"/>
        </w:rPr>
      </w:r>
      <w:r w:rsidR="006C5FC2">
        <w:rPr>
          <w:rFonts w:ascii="Comenia Sans" w:hAnsi="Comenia Sans"/>
          <w:b/>
          <w:noProof/>
          <w:sz w:val="20"/>
          <w:szCs w:val="20"/>
        </w:rPr>
        <w:fldChar w:fldCharType="separate"/>
      </w:r>
      <w:bookmarkStart w:id="1" w:name="_GoBack"/>
      <w:r w:rsidR="006C5FC2">
        <w:rPr>
          <w:rFonts w:ascii="Comenia Sans" w:hAnsi="Comenia Sans"/>
          <w:b/>
          <w:noProof/>
          <w:sz w:val="20"/>
          <w:szCs w:val="20"/>
        </w:rPr>
        <w:t>doplňte číslo</w:t>
      </w:r>
      <w:bookmarkEnd w:id="1"/>
      <w:r w:rsidR="006C5FC2">
        <w:rPr>
          <w:rFonts w:ascii="Comenia Sans" w:hAnsi="Comenia Sans"/>
          <w:b/>
          <w:noProof/>
          <w:sz w:val="20"/>
          <w:szCs w:val="20"/>
        </w:rPr>
        <w:fldChar w:fldCharType="end"/>
      </w:r>
      <w:bookmarkEnd w:id="0"/>
    </w:p>
    <w:p w14:paraId="1DBA8137" w14:textId="5F7CFAB9" w:rsidR="00241F4F" w:rsidRDefault="0064444B" w:rsidP="006B04FD">
      <w:pPr>
        <w:pStyle w:val="Zkladntext"/>
        <w:spacing w:before="480" w:after="240" w:line="240" w:lineRule="auto"/>
        <w:rPr>
          <w:rFonts w:ascii="Comenia Serif" w:hAnsi="Comenia Serif" w:cs="Arial"/>
          <w:b/>
          <w:sz w:val="22"/>
          <w:szCs w:val="22"/>
        </w:rPr>
      </w:pPr>
      <w:r w:rsidRPr="0064444B">
        <w:rPr>
          <w:rFonts w:ascii="Comenia Serif" w:hAnsi="Comenia Serif" w:cs="Arial"/>
          <w:b/>
          <w:sz w:val="22"/>
          <w:szCs w:val="22"/>
        </w:rPr>
        <w:t xml:space="preserve">Zaměstnavatel v souladu s § 37/ § 77 zákona č. 262/2006 Sb., zákoník práce, ve znění pozdějších předpisů (dále jen </w:t>
      </w:r>
      <w:r w:rsidRPr="0064444B">
        <w:rPr>
          <w:rFonts w:ascii="Comenia Serif" w:hAnsi="Comenia Serif" w:cs="Arial"/>
          <w:b/>
          <w:i/>
          <w:sz w:val="22"/>
          <w:szCs w:val="22"/>
        </w:rPr>
        <w:t>„ZP“</w:t>
      </w:r>
      <w:r w:rsidRPr="0064444B">
        <w:rPr>
          <w:rFonts w:ascii="Comenia Serif" w:hAnsi="Comenia Serif" w:cs="Arial"/>
          <w:b/>
          <w:sz w:val="22"/>
          <w:szCs w:val="22"/>
        </w:rPr>
        <w:t>), informuje tímto zaměstnance o následujících skutečnostech:</w:t>
      </w:r>
    </w:p>
    <w:p w14:paraId="00D3DB6A" w14:textId="6EBA65FB" w:rsidR="00065E96" w:rsidRDefault="00A117EE" w:rsidP="00BD5E19">
      <w:pPr>
        <w:pStyle w:val="Zkladntext"/>
        <w:numPr>
          <w:ilvl w:val="0"/>
          <w:numId w:val="5"/>
        </w:numPr>
        <w:spacing w:line="240" w:lineRule="auto"/>
        <w:ind w:left="567" w:hanging="567"/>
        <w:rPr>
          <w:rFonts w:ascii="Comenia Serif" w:hAnsi="Comenia Serif" w:cs="Arial"/>
          <w:sz w:val="22"/>
          <w:szCs w:val="22"/>
        </w:rPr>
      </w:pPr>
      <w:r w:rsidRPr="00A117EE">
        <w:rPr>
          <w:rFonts w:ascii="Comenia Serif" w:hAnsi="Comenia Serif" w:cs="Arial"/>
          <w:sz w:val="22"/>
          <w:szCs w:val="22"/>
        </w:rPr>
        <w:t>Zaměstnavatelem je Univerzita Hradec Králové se sídlem v Rokitanského 62, 500 03 Hradec Králové, přičemž pracovní smlouvu nebo dohody o pracích konaných mimo pracovní poměr je možné uzavřít s některou součástí UHK, která má právo podle zákona č. 111/1998 Sb. O vysokých školách rozhodovat a jednat jménem vysoké školy. V rámci místa výkonu práce sjednaného v pracovní smlouvě bude zaměstnanec vykonávat práci zejm. na pracovištích v podobě prostor užívaných zaměstnavatelem, tj. Hradec Králové – Rokitanského 62; nám. Svobody 331; Hradecká 1249/6; Víta Nejedlého 573; Hradecká 1285; Hradecká 1227; nám.</w:t>
      </w:r>
      <w:r w:rsidR="00A4229D">
        <w:rPr>
          <w:rFonts w:ascii="Comenia Serif" w:hAnsi="Comenia Serif" w:cs="Arial"/>
          <w:sz w:val="22"/>
          <w:szCs w:val="22"/>
          <w:lang w:val="cs-CZ"/>
        </w:rPr>
        <w:t xml:space="preserve"> </w:t>
      </w:r>
      <w:r w:rsidRPr="00A117EE">
        <w:rPr>
          <w:rFonts w:ascii="Comenia Serif" w:hAnsi="Comenia Serif" w:cs="Arial"/>
          <w:sz w:val="22"/>
          <w:szCs w:val="22"/>
        </w:rPr>
        <w:t>Svobody 301; Velké náměstí 32 – Nové Adalbertinum; U Pivovarské flošny 296; Palachova 1129 – Vysokoškolské koleje; Pivovarské náměstí 1244; není-li mezi zaměstnancem a zaměstnavatelem sjednáno jinak.</w:t>
      </w:r>
    </w:p>
    <w:p w14:paraId="4D478137" w14:textId="1BE46461" w:rsidR="00A117EE" w:rsidRPr="00A01CA4" w:rsidRDefault="00A01CA4" w:rsidP="00A01CA4">
      <w:pPr>
        <w:pStyle w:val="Zkladntext"/>
        <w:numPr>
          <w:ilvl w:val="0"/>
          <w:numId w:val="10"/>
        </w:numPr>
        <w:spacing w:after="240"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A117EE" w:rsidRPr="00902453">
        <w:rPr>
          <w:rFonts w:ascii="Comenia Serif" w:hAnsi="Comenia Serif" w:cs="Arial"/>
          <w:sz w:val="22"/>
          <w:szCs w:val="22"/>
        </w:rPr>
        <w:t>Organizační a vnitřní řád UHK</w:t>
      </w:r>
    </w:p>
    <w:p w14:paraId="75BE9605" w14:textId="522808F3" w:rsidR="00A117EE" w:rsidRDefault="00A117EE" w:rsidP="00BD5E19">
      <w:pPr>
        <w:pStyle w:val="Zkladntext"/>
        <w:numPr>
          <w:ilvl w:val="0"/>
          <w:numId w:val="5"/>
        </w:numPr>
        <w:spacing w:line="240" w:lineRule="auto"/>
        <w:ind w:left="567" w:hanging="567"/>
        <w:rPr>
          <w:rFonts w:ascii="Comenia Serif" w:hAnsi="Comenia Serif" w:cs="Arial"/>
          <w:sz w:val="22"/>
          <w:szCs w:val="22"/>
        </w:rPr>
      </w:pPr>
      <w:r w:rsidRPr="00A117EE">
        <w:rPr>
          <w:rFonts w:ascii="Comenia Serif" w:hAnsi="Comenia Serif" w:cs="Arial"/>
          <w:sz w:val="22"/>
          <w:szCs w:val="22"/>
        </w:rPr>
        <w:t xml:space="preserve">Podmínky vzniku práva na dovolenou a způsob určení její délky blíže upravuje zejména § 212, § 213, § 216 a § 348 odst. 1 ZP. Konkrétní počet hodin dovolené, na které zaměstnanci za kalendářní rok vznikne právo, se odvíjí od zaměstnancovy výměry dovolené, délky jeho stanovené nebo kratší týdenní pracovní doby ve smyslu § 79 a 80 ZP (dále jen </w:t>
      </w:r>
      <w:r w:rsidRPr="00A4229D">
        <w:rPr>
          <w:rFonts w:ascii="Comenia Serif" w:hAnsi="Comenia Serif" w:cs="Arial"/>
          <w:i/>
          <w:sz w:val="22"/>
          <w:szCs w:val="22"/>
        </w:rPr>
        <w:t>„TPD“</w:t>
      </w:r>
      <w:r w:rsidRPr="00A117EE">
        <w:rPr>
          <w:rFonts w:ascii="Comenia Serif" w:hAnsi="Comenia Serif" w:cs="Arial"/>
          <w:sz w:val="22"/>
          <w:szCs w:val="22"/>
        </w:rPr>
        <w:t>) a počtu odpracovaných celých násobků této TPD v</w:t>
      </w:r>
      <w:r>
        <w:rPr>
          <w:rFonts w:ascii="Calibri" w:hAnsi="Calibri" w:cs="Calibri"/>
          <w:sz w:val="22"/>
          <w:szCs w:val="22"/>
          <w:lang w:val="cs-CZ"/>
        </w:rPr>
        <w:t> </w:t>
      </w:r>
      <w:r w:rsidRPr="00A117EE">
        <w:rPr>
          <w:rFonts w:ascii="Comenia Serif" w:hAnsi="Comenia Serif" w:cs="Arial"/>
          <w:sz w:val="22"/>
          <w:szCs w:val="22"/>
        </w:rPr>
        <w:t>daném kalendářním roce. Výměra dovolené je u akademických zaměstnanců 8</w:t>
      </w:r>
      <w:r>
        <w:rPr>
          <w:rFonts w:ascii="Calibri" w:hAnsi="Calibri" w:cs="Calibri"/>
          <w:sz w:val="22"/>
          <w:szCs w:val="22"/>
          <w:lang w:val="cs-CZ"/>
        </w:rPr>
        <w:t> </w:t>
      </w:r>
      <w:r w:rsidRPr="00A117EE">
        <w:rPr>
          <w:rFonts w:ascii="Comenia Serif" w:hAnsi="Comenia Serif" w:cs="Arial"/>
          <w:sz w:val="22"/>
          <w:szCs w:val="22"/>
        </w:rPr>
        <w:t>týdnů u neakademických pracovníků 6 týdnů.</w:t>
      </w:r>
    </w:p>
    <w:p w14:paraId="5D8E60E4" w14:textId="64EC33C2" w:rsidR="00A117EE" w:rsidRPr="00A117EE" w:rsidRDefault="00A117EE" w:rsidP="00BD5E19">
      <w:pPr>
        <w:pStyle w:val="Zkladntext"/>
        <w:spacing w:line="240" w:lineRule="auto"/>
        <w:ind w:left="567"/>
        <w:rPr>
          <w:rFonts w:ascii="Comenia Serif" w:hAnsi="Comenia Serif" w:cs="Arial"/>
          <w:sz w:val="22"/>
          <w:szCs w:val="22"/>
        </w:rPr>
      </w:pPr>
      <w:r w:rsidRPr="00A117EE">
        <w:rPr>
          <w:rFonts w:ascii="Comenia Serif" w:hAnsi="Comenia Serif" w:cs="Arial"/>
          <w:sz w:val="22"/>
          <w:szCs w:val="22"/>
        </w:rPr>
        <w:t>Další podrobnosti o dovolené upravuje Kolektivní smlouva. Konkrétní počet hodin dovolené, na které zaměstnanci za kalendářní rok vznikne právo je uveden na výplatní pásce a v evidenci práce zaměstnance.</w:t>
      </w:r>
    </w:p>
    <w:p w14:paraId="5A952582" w14:textId="078C0B6A" w:rsidR="00E8504B" w:rsidRDefault="00A117EE" w:rsidP="00BD5E19">
      <w:pPr>
        <w:pStyle w:val="Zkladntext"/>
        <w:spacing w:line="240" w:lineRule="auto"/>
        <w:ind w:left="567"/>
        <w:rPr>
          <w:rFonts w:ascii="Comenia Serif" w:hAnsi="Comenia Serif" w:cs="Arial"/>
          <w:sz w:val="22"/>
          <w:szCs w:val="22"/>
        </w:rPr>
      </w:pPr>
      <w:r w:rsidRPr="00A117EE">
        <w:rPr>
          <w:rFonts w:ascii="Comenia Serif" w:hAnsi="Comenia Serif" w:cs="Arial"/>
          <w:sz w:val="22"/>
          <w:szCs w:val="22"/>
        </w:rPr>
        <w:t>Čerpání dovolené se řídí § 217 až § 220 ZP. Zaměstnanci za dobu čerpání dovolené přísluší náhrada mzdy ve výši průměrného výdělku (§ 222 ZP). Zaměstnavatel může při neomluveném zameškání práce přistoupit ke krácení dovolené za podmínek dle § 223 ZP.</w:t>
      </w:r>
    </w:p>
    <w:p w14:paraId="17D28FA8" w14:textId="0E0C3C1D" w:rsidR="00A4229D" w:rsidRDefault="00993D01" w:rsidP="00993D01">
      <w:pPr>
        <w:pStyle w:val="Zkladntext"/>
        <w:numPr>
          <w:ilvl w:val="0"/>
          <w:numId w:val="10"/>
        </w:numPr>
        <w:spacing w:after="240"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A117EE" w:rsidRPr="00524F97">
        <w:rPr>
          <w:rFonts w:ascii="Comenia Serif" w:hAnsi="Comenia Serif" w:cs="Arial"/>
          <w:sz w:val="22"/>
          <w:szCs w:val="22"/>
        </w:rPr>
        <w:t>Kolektivní smlouva</w:t>
      </w:r>
    </w:p>
    <w:p w14:paraId="37E9051F" w14:textId="091135E0" w:rsidR="00551F7E" w:rsidRPr="00551F7E" w:rsidRDefault="00551F7E" w:rsidP="00BD5E19">
      <w:pPr>
        <w:pStyle w:val="Zkladntext"/>
        <w:numPr>
          <w:ilvl w:val="0"/>
          <w:numId w:val="5"/>
        </w:numPr>
        <w:spacing w:line="240" w:lineRule="auto"/>
        <w:ind w:left="567" w:hanging="567"/>
        <w:rPr>
          <w:rFonts w:ascii="Comenia Serif" w:hAnsi="Comenia Serif" w:cs="Arial"/>
          <w:sz w:val="22"/>
          <w:szCs w:val="22"/>
        </w:rPr>
      </w:pPr>
      <w:r w:rsidRPr="00551F7E">
        <w:rPr>
          <w:rFonts w:ascii="Comenia Serif" w:hAnsi="Comenia Serif" w:cs="Arial"/>
          <w:sz w:val="22"/>
          <w:szCs w:val="22"/>
        </w:rPr>
        <w:lastRenderedPageBreak/>
        <w:t>Délka zkušební doby u zaměstnance v pracovním poměru je stanovena v pracovní smlouvě. Zkušební doba se automaticky prodlužuje o dobu celodenních překážek v</w:t>
      </w:r>
      <w:r>
        <w:rPr>
          <w:rFonts w:ascii="Calibri" w:hAnsi="Calibri" w:cs="Calibri"/>
          <w:sz w:val="22"/>
          <w:szCs w:val="22"/>
          <w:lang w:val="cs-CZ"/>
        </w:rPr>
        <w:t> </w:t>
      </w:r>
      <w:r w:rsidRPr="00551F7E">
        <w:rPr>
          <w:rFonts w:ascii="Comenia Serif" w:hAnsi="Comenia Serif" w:cs="Arial"/>
          <w:sz w:val="22"/>
          <w:szCs w:val="22"/>
        </w:rPr>
        <w:t>práci, pro které zaměstnanec nekoná práci v průběhu zkušební doby, a o dobu celodenní dovolené. Právní úprava zkušební doby, včetně její maximální možné sjednané délky se řídí § 35 a § 66 ZP.</w:t>
      </w:r>
    </w:p>
    <w:p w14:paraId="70BF9B8B" w14:textId="01764085" w:rsidR="00551F7E" w:rsidRDefault="00551F7E" w:rsidP="00BD5E19">
      <w:pPr>
        <w:pStyle w:val="Zkladntext"/>
        <w:spacing w:after="240" w:line="240" w:lineRule="auto"/>
        <w:ind w:left="567"/>
        <w:rPr>
          <w:rFonts w:ascii="Comenia Serif" w:hAnsi="Comenia Serif" w:cs="Arial"/>
          <w:sz w:val="22"/>
          <w:szCs w:val="22"/>
        </w:rPr>
      </w:pPr>
      <w:r w:rsidRPr="00551F7E">
        <w:rPr>
          <w:rFonts w:ascii="Comenia Serif" w:hAnsi="Comenia Serif" w:cs="Arial"/>
          <w:sz w:val="22"/>
          <w:szCs w:val="22"/>
        </w:rPr>
        <w:t>U dohod o pracích konaných mimo pracovní poměr se zkušební doba nesjednává.</w:t>
      </w:r>
    </w:p>
    <w:p w14:paraId="27A373F5" w14:textId="0E621C39" w:rsidR="00551F7E" w:rsidRPr="00551F7E" w:rsidRDefault="00551F7E" w:rsidP="00BD5E19">
      <w:pPr>
        <w:pStyle w:val="Zkladntext"/>
        <w:numPr>
          <w:ilvl w:val="0"/>
          <w:numId w:val="5"/>
        </w:numPr>
        <w:spacing w:line="240" w:lineRule="auto"/>
        <w:ind w:left="567" w:hanging="567"/>
        <w:rPr>
          <w:rFonts w:ascii="Comenia Serif" w:hAnsi="Comenia Serif" w:cs="Arial"/>
          <w:sz w:val="22"/>
          <w:szCs w:val="22"/>
        </w:rPr>
      </w:pPr>
      <w:r w:rsidRPr="00551F7E">
        <w:rPr>
          <w:rFonts w:ascii="Comenia Serif" w:hAnsi="Comenia Serif" w:cs="Arial"/>
          <w:sz w:val="22"/>
          <w:szCs w:val="22"/>
        </w:rPr>
        <w:t>Postup zaměstnance i zaměstnavatele při ukončení pracovního poměru nebo dohod o pracích konaných mimo pracovní poměr se řídí zejména § 48 – § 73a a §77 ZP. Dále se tento postup řídí platnou Kolektivní smlouvou.</w:t>
      </w:r>
    </w:p>
    <w:p w14:paraId="2E447045" w14:textId="3278401D" w:rsidR="00551F7E" w:rsidRDefault="00993D01" w:rsidP="00993D01">
      <w:pPr>
        <w:pStyle w:val="Zkladntext"/>
        <w:numPr>
          <w:ilvl w:val="0"/>
          <w:numId w:val="10"/>
        </w:numPr>
        <w:spacing w:after="240"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551F7E" w:rsidRPr="00524F97">
        <w:rPr>
          <w:rFonts w:ascii="Comenia Serif" w:hAnsi="Comenia Serif" w:cs="Arial"/>
          <w:sz w:val="22"/>
          <w:szCs w:val="22"/>
        </w:rPr>
        <w:t>Kolektivní smlouva</w:t>
      </w:r>
    </w:p>
    <w:p w14:paraId="1DB52E9B" w14:textId="517BBBA5" w:rsidR="002C281B" w:rsidRDefault="002C281B" w:rsidP="00BD5E19">
      <w:pPr>
        <w:pStyle w:val="Zkladntext"/>
        <w:numPr>
          <w:ilvl w:val="0"/>
          <w:numId w:val="5"/>
        </w:numPr>
        <w:spacing w:line="240" w:lineRule="auto"/>
        <w:ind w:left="567" w:hanging="567"/>
        <w:rPr>
          <w:rFonts w:ascii="Comenia Serif" w:hAnsi="Comenia Serif" w:cs="Arial"/>
          <w:sz w:val="22"/>
          <w:szCs w:val="22"/>
        </w:rPr>
      </w:pPr>
      <w:r w:rsidRPr="002C281B">
        <w:rPr>
          <w:rFonts w:ascii="Comenia Serif" w:hAnsi="Comenia Serif" w:cs="Arial"/>
          <w:sz w:val="22"/>
          <w:szCs w:val="22"/>
        </w:rPr>
        <w:t xml:space="preserve">Povinnosti zaměstnavatele v oblasti odborného rozvoje zaměstnanců upravuje § 227 až § 234 ZP a řídicím aktem </w:t>
      </w:r>
      <w:r w:rsidRPr="002C281B">
        <w:rPr>
          <w:rFonts w:ascii="Comenia Serif" w:hAnsi="Comenia Serif" w:cs="Arial"/>
          <w:i/>
          <w:sz w:val="22"/>
          <w:szCs w:val="22"/>
        </w:rPr>
        <w:t>„Kariérní řád a pravidelné hodnocení akademických pracovníků UHK“</w:t>
      </w:r>
      <w:r w:rsidRPr="002C281B">
        <w:rPr>
          <w:rFonts w:ascii="Comenia Serif" w:hAnsi="Comenia Serif" w:cs="Arial"/>
          <w:sz w:val="22"/>
          <w:szCs w:val="22"/>
        </w:rPr>
        <w:t>. Odborný rozvoj zaměstnanců zahrnuje zejména:</w:t>
      </w:r>
    </w:p>
    <w:p w14:paraId="65D78A0E" w14:textId="77777777" w:rsidR="002C281B" w:rsidRPr="002C281B" w:rsidRDefault="002C281B" w:rsidP="00BD5E19">
      <w:pPr>
        <w:pStyle w:val="Zkladntext"/>
        <w:numPr>
          <w:ilvl w:val="0"/>
          <w:numId w:val="7"/>
        </w:numPr>
        <w:spacing w:line="240" w:lineRule="auto"/>
        <w:ind w:left="993" w:hanging="426"/>
        <w:rPr>
          <w:rFonts w:ascii="Comenia Serif" w:hAnsi="Comenia Serif" w:cs="Arial"/>
          <w:sz w:val="22"/>
          <w:szCs w:val="22"/>
        </w:rPr>
      </w:pPr>
      <w:r w:rsidRPr="002C281B">
        <w:rPr>
          <w:rFonts w:ascii="Comenia Serif" w:hAnsi="Comenia Serif" w:cs="Arial"/>
          <w:sz w:val="22"/>
          <w:szCs w:val="22"/>
        </w:rPr>
        <w:t>zaškolení a zaučení,</w:t>
      </w:r>
    </w:p>
    <w:p w14:paraId="18D83945" w14:textId="77777777" w:rsidR="002C281B" w:rsidRPr="002C281B" w:rsidRDefault="002C281B" w:rsidP="00BD5E19">
      <w:pPr>
        <w:pStyle w:val="Zkladntext"/>
        <w:numPr>
          <w:ilvl w:val="0"/>
          <w:numId w:val="7"/>
        </w:numPr>
        <w:spacing w:line="240" w:lineRule="auto"/>
        <w:ind w:left="993" w:hanging="426"/>
        <w:rPr>
          <w:rFonts w:ascii="Comenia Serif" w:hAnsi="Comenia Serif" w:cs="Arial"/>
          <w:sz w:val="22"/>
          <w:szCs w:val="22"/>
        </w:rPr>
      </w:pPr>
      <w:r w:rsidRPr="002C281B">
        <w:rPr>
          <w:rFonts w:ascii="Comenia Serif" w:hAnsi="Comenia Serif" w:cs="Arial"/>
          <w:sz w:val="22"/>
          <w:szCs w:val="22"/>
        </w:rPr>
        <w:t>odbornou praxi absolventů škol,</w:t>
      </w:r>
    </w:p>
    <w:p w14:paraId="3A19BB0C" w14:textId="77777777" w:rsidR="002C281B" w:rsidRPr="002C281B" w:rsidRDefault="002C281B" w:rsidP="00BD5E19">
      <w:pPr>
        <w:pStyle w:val="Zkladntext"/>
        <w:numPr>
          <w:ilvl w:val="0"/>
          <w:numId w:val="7"/>
        </w:numPr>
        <w:spacing w:line="240" w:lineRule="auto"/>
        <w:ind w:left="993" w:hanging="426"/>
        <w:rPr>
          <w:rFonts w:ascii="Comenia Serif" w:hAnsi="Comenia Serif" w:cs="Arial"/>
          <w:sz w:val="22"/>
          <w:szCs w:val="22"/>
        </w:rPr>
      </w:pPr>
      <w:r w:rsidRPr="002C281B">
        <w:rPr>
          <w:rFonts w:ascii="Comenia Serif" w:hAnsi="Comenia Serif" w:cs="Arial"/>
          <w:sz w:val="22"/>
          <w:szCs w:val="22"/>
        </w:rPr>
        <w:t>prohlubování kvalifikace,</w:t>
      </w:r>
    </w:p>
    <w:p w14:paraId="3400C526" w14:textId="5909ECAF" w:rsidR="002C281B" w:rsidRDefault="002C281B" w:rsidP="00BD5E19">
      <w:pPr>
        <w:pStyle w:val="Zkladntext"/>
        <w:numPr>
          <w:ilvl w:val="0"/>
          <w:numId w:val="7"/>
        </w:numPr>
        <w:spacing w:line="240" w:lineRule="auto"/>
        <w:ind w:left="992" w:hanging="425"/>
        <w:rPr>
          <w:rFonts w:ascii="Comenia Serif" w:hAnsi="Comenia Serif" w:cs="Arial"/>
          <w:sz w:val="22"/>
          <w:szCs w:val="22"/>
        </w:rPr>
      </w:pPr>
      <w:r w:rsidRPr="002C281B">
        <w:rPr>
          <w:rFonts w:ascii="Comenia Serif" w:hAnsi="Comenia Serif" w:cs="Arial"/>
          <w:sz w:val="22"/>
          <w:szCs w:val="22"/>
        </w:rPr>
        <w:t>zvyšování kvalifikace.</w:t>
      </w:r>
    </w:p>
    <w:p w14:paraId="6CC9CA51" w14:textId="230F39F7" w:rsidR="002C281B" w:rsidRDefault="00993D01" w:rsidP="00993D01">
      <w:pPr>
        <w:pStyle w:val="Zkladntext"/>
        <w:numPr>
          <w:ilvl w:val="0"/>
          <w:numId w:val="10"/>
        </w:numPr>
        <w:spacing w:after="240"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2C281B" w:rsidRPr="00524F97">
        <w:rPr>
          <w:rFonts w:ascii="Comenia Serif" w:hAnsi="Comenia Serif" w:cs="Arial"/>
          <w:sz w:val="22"/>
          <w:szCs w:val="22"/>
        </w:rPr>
        <w:t>Kariérní řád a pravidelné hodnocení akademických pracovníků UHK</w:t>
      </w:r>
    </w:p>
    <w:p w14:paraId="642DAE03" w14:textId="06ADBC1F" w:rsidR="00902453" w:rsidRPr="00902453" w:rsidRDefault="00902453" w:rsidP="00BD5E19">
      <w:pPr>
        <w:pStyle w:val="Odstavecseseznamem"/>
        <w:numPr>
          <w:ilvl w:val="0"/>
          <w:numId w:val="5"/>
        </w:numPr>
        <w:spacing w:after="120" w:line="240" w:lineRule="auto"/>
        <w:ind w:left="567" w:hanging="567"/>
        <w:contextualSpacing w:val="0"/>
        <w:rPr>
          <w:rFonts w:ascii="Comenia Serif" w:hAnsi="Comenia Serif" w:cs="Arial"/>
          <w:sz w:val="22"/>
          <w:szCs w:val="22"/>
          <w:lang w:val="x-none" w:eastAsia="x-none"/>
        </w:rPr>
      </w:pPr>
      <w:r w:rsidRPr="00902453">
        <w:rPr>
          <w:rFonts w:ascii="Comenia Serif" w:hAnsi="Comenia Serif" w:cs="Arial"/>
          <w:b/>
          <w:sz w:val="22"/>
          <w:szCs w:val="22"/>
          <w:lang w:val="x-none" w:eastAsia="x-none"/>
        </w:rPr>
        <w:t>Pracovní doba</w:t>
      </w:r>
    </w:p>
    <w:p w14:paraId="4862FC11" w14:textId="73D20D55" w:rsidR="00DF675C" w:rsidRDefault="00B862C4" w:rsidP="00BD5E19">
      <w:pPr>
        <w:pStyle w:val="Zkladntext"/>
        <w:spacing w:line="240" w:lineRule="auto"/>
        <w:ind w:left="567"/>
        <w:rPr>
          <w:rFonts w:ascii="Comenia Serif" w:hAnsi="Comenia Serif" w:cs="Arial"/>
          <w:sz w:val="22"/>
          <w:szCs w:val="22"/>
        </w:rPr>
      </w:pPr>
      <w:r w:rsidRPr="00B862C4">
        <w:rPr>
          <w:rFonts w:ascii="Comenia Serif" w:hAnsi="Comenia Serif" w:cs="Arial"/>
          <w:sz w:val="22"/>
          <w:szCs w:val="22"/>
        </w:rPr>
        <w:t xml:space="preserve">Délka stanovené týdenní pracovní doby zaměstnance v pracovním poměru se řídí podle § 79 ZP, pro zaměstnance pracujících na základě dohod o pracích konaných mimo pracovní poměr se řídí podle § 76 odst. 3 ZP </w:t>
      </w:r>
      <w:r w:rsidR="00BD5E19">
        <w:rPr>
          <w:rFonts w:ascii="Comenia Serif" w:hAnsi="Comenia Serif" w:cs="Arial"/>
          <w:sz w:val="22"/>
          <w:szCs w:val="22"/>
          <w:lang w:val="cs-CZ"/>
        </w:rPr>
        <w:t>–</w:t>
      </w:r>
      <w:r w:rsidRPr="00B862C4">
        <w:rPr>
          <w:rFonts w:ascii="Comenia Serif" w:hAnsi="Comenia Serif" w:cs="Arial"/>
          <w:sz w:val="22"/>
          <w:szCs w:val="22"/>
        </w:rPr>
        <w:t xml:space="preserve"> její rozvržení je v pravomoci jednotlivých součástí, pokud se nestanoví jinak. Obecně se pro úpravu pracovní doby použije řídicí akt </w:t>
      </w:r>
      <w:r w:rsidRPr="00B862C4">
        <w:rPr>
          <w:rFonts w:ascii="Comenia Serif" w:hAnsi="Comenia Serif" w:cs="Arial"/>
          <w:i/>
          <w:sz w:val="22"/>
          <w:szCs w:val="22"/>
        </w:rPr>
        <w:t>„Rozvrhování pracovní doby, pružná pracovní doba a práce na dálku zaměstnanců UHK“</w:t>
      </w:r>
      <w:r w:rsidRPr="00B862C4">
        <w:rPr>
          <w:rFonts w:ascii="Comenia Serif" w:hAnsi="Comenia Serif" w:cs="Arial"/>
          <w:sz w:val="22"/>
          <w:szCs w:val="22"/>
        </w:rPr>
        <w:t xml:space="preserve">. U akademických zaměstnanců se délka týdenní pracovní doby stanovuje s ohledem na výukové povinnosti dané rozvrhem. Na nepřetržitých pracovištích se uplatní individuální harmonogram směn. Pracovní doba je rozvržena rovnoměrně nebo nerovnoměrně na jednotlivé týdny. Délka vyrovnávacího období činí u pružného rozvržení pracovní doby 1 měsíc (viz také řídicí akt </w:t>
      </w:r>
      <w:r w:rsidRPr="00B862C4">
        <w:rPr>
          <w:rFonts w:ascii="Comenia Serif" w:hAnsi="Comenia Serif" w:cs="Arial"/>
          <w:i/>
          <w:sz w:val="22"/>
          <w:szCs w:val="22"/>
        </w:rPr>
        <w:t>„Rozvrhování pracovní doby, pružná pracovní doba a práce na dálku zaměstnanců UHK“</w:t>
      </w:r>
      <w:r w:rsidRPr="00B862C4">
        <w:rPr>
          <w:rFonts w:ascii="Comenia Serif" w:hAnsi="Comenia Serif" w:cs="Arial"/>
          <w:sz w:val="22"/>
          <w:szCs w:val="22"/>
        </w:rPr>
        <w:t>), v</w:t>
      </w:r>
      <w:r>
        <w:rPr>
          <w:rFonts w:ascii="Calibri" w:hAnsi="Calibri" w:cs="Calibri"/>
          <w:sz w:val="22"/>
          <w:szCs w:val="22"/>
          <w:lang w:val="cs-CZ"/>
        </w:rPr>
        <w:t> </w:t>
      </w:r>
      <w:r w:rsidRPr="00B862C4">
        <w:rPr>
          <w:rFonts w:ascii="Comenia Serif" w:hAnsi="Comenia Serif" w:cs="Arial"/>
          <w:sz w:val="22"/>
          <w:szCs w:val="22"/>
        </w:rPr>
        <w:t>ostatních případech pak činí 26 týdnů, kdy první vyrovnávací období začíná dnem 1.1. a končí dnem 30.6. Další vyrovnávací období bezprostředně časově navazuje na předchozí vyrovnávací období. U zaměstnanců, u kterých se neuplatní pružná pracovní doba zaměstnavatel rozvrhuje pracovní dobu a tyto rozvrhy zaměstnancům sděluje v souladu s vnitřními předpisy, zejm. výše uvedeným řídicím aktem, a to primárně prostřednictvím systému STAG a systému rozvrhu práce v intranetu zaměstnavatele, případně jiným vhodným způsobem.</w:t>
      </w:r>
    </w:p>
    <w:p w14:paraId="5C5676A4" w14:textId="77777777" w:rsidR="00DF675C" w:rsidRDefault="00DF675C">
      <w:pPr>
        <w:rPr>
          <w:rFonts w:ascii="Comenia Serif" w:hAnsi="Comenia Serif" w:cs="Arial"/>
          <w:sz w:val="22"/>
          <w:szCs w:val="22"/>
          <w:lang w:val="x-none" w:eastAsia="x-none"/>
        </w:rPr>
      </w:pPr>
      <w:r>
        <w:rPr>
          <w:rFonts w:ascii="Comenia Serif" w:hAnsi="Comenia Serif" w:cs="Arial"/>
          <w:sz w:val="22"/>
          <w:szCs w:val="22"/>
        </w:rPr>
        <w:br w:type="page"/>
      </w:r>
    </w:p>
    <w:p w14:paraId="4D14E3F8" w14:textId="7FF91E06" w:rsidR="00B862C4" w:rsidRDefault="00B862C4" w:rsidP="00BD5E19">
      <w:pPr>
        <w:pStyle w:val="Zkladntext"/>
        <w:spacing w:line="240" w:lineRule="auto"/>
        <w:ind w:left="567"/>
        <w:rPr>
          <w:rFonts w:ascii="Comenia Serif" w:hAnsi="Comenia Serif" w:cs="Arial"/>
          <w:sz w:val="22"/>
          <w:szCs w:val="22"/>
        </w:rPr>
      </w:pPr>
      <w:r w:rsidRPr="00B862C4">
        <w:rPr>
          <w:rFonts w:ascii="Comenia Serif" w:hAnsi="Comenia Serif" w:cs="Arial"/>
          <w:sz w:val="22"/>
          <w:szCs w:val="22"/>
        </w:rPr>
        <w:lastRenderedPageBreak/>
        <w:t>Předpokládaný rozsah pracovní doby za den nebo týden u dohod o pracích konaných mimo pracovní poměr odpovídá počtu hodin sjednané práce vydělenému počtem započatých týdnů v době, na kterou byla dohoda sjednána. Dodržování sjednaného a</w:t>
      </w:r>
      <w:r>
        <w:rPr>
          <w:rFonts w:ascii="Calibri" w:hAnsi="Calibri" w:cs="Calibri"/>
          <w:sz w:val="22"/>
          <w:szCs w:val="22"/>
          <w:lang w:val="cs-CZ"/>
        </w:rPr>
        <w:t> </w:t>
      </w:r>
      <w:r w:rsidRPr="00B862C4">
        <w:rPr>
          <w:rFonts w:ascii="Comenia Serif" w:hAnsi="Comenia Serif" w:cs="Arial"/>
          <w:sz w:val="22"/>
          <w:szCs w:val="22"/>
        </w:rPr>
        <w:t>nejvýše přípustného rozsahu poloviny stanovené týdenní pracovní doby u dohod o</w:t>
      </w:r>
      <w:r>
        <w:rPr>
          <w:rFonts w:ascii="Calibri" w:hAnsi="Calibri" w:cs="Calibri"/>
          <w:sz w:val="22"/>
          <w:szCs w:val="22"/>
          <w:lang w:val="cs-CZ"/>
        </w:rPr>
        <w:t> </w:t>
      </w:r>
      <w:r w:rsidRPr="00B862C4">
        <w:rPr>
          <w:rFonts w:ascii="Comenia Serif" w:hAnsi="Comenia Serif" w:cs="Arial"/>
          <w:sz w:val="22"/>
          <w:szCs w:val="22"/>
        </w:rPr>
        <w:t>pracovní činnosti se posuzuje za celou dobu, na kterou byla dohoda o pracovní činnosti uzavřena, nejdéle však za období 52 týdnů.</w:t>
      </w:r>
    </w:p>
    <w:p w14:paraId="1301BDED" w14:textId="2CB80C7D" w:rsidR="00B862C4" w:rsidRDefault="00993D01" w:rsidP="00993D01">
      <w:pPr>
        <w:pStyle w:val="Zkladntext"/>
        <w:numPr>
          <w:ilvl w:val="0"/>
          <w:numId w:val="10"/>
        </w:numPr>
        <w:spacing w:after="240"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B862C4" w:rsidRPr="00B862C4">
        <w:rPr>
          <w:rFonts w:ascii="Comenia Serif" w:hAnsi="Comenia Serif" w:cs="Arial"/>
          <w:sz w:val="22"/>
          <w:szCs w:val="22"/>
        </w:rPr>
        <w:t>Rozvrhování pracovní doby, pružná pracovní doba a práce na dálku zaměstnanců UHK</w:t>
      </w:r>
    </w:p>
    <w:p w14:paraId="07217981" w14:textId="0025F200" w:rsidR="007B5E15" w:rsidRDefault="007B5E15" w:rsidP="00BD5E19">
      <w:pPr>
        <w:spacing w:after="120" w:line="240" w:lineRule="auto"/>
        <w:ind w:left="567"/>
        <w:rPr>
          <w:rFonts w:ascii="Comenia Serif" w:hAnsi="Comenia Serif" w:cs="Arial"/>
          <w:b/>
          <w:sz w:val="22"/>
          <w:szCs w:val="22"/>
          <w:lang w:val="x-none" w:eastAsia="x-none"/>
        </w:rPr>
      </w:pPr>
      <w:r w:rsidRPr="007B5E15">
        <w:rPr>
          <w:rFonts w:ascii="Comenia Serif" w:hAnsi="Comenia Serif" w:cs="Arial"/>
          <w:b/>
          <w:sz w:val="22"/>
          <w:szCs w:val="22"/>
          <w:lang w:val="x-none" w:eastAsia="x-none"/>
        </w:rPr>
        <w:t>Práce přesčas (§ 93 ZP)</w:t>
      </w:r>
    </w:p>
    <w:p w14:paraId="74F7E3B2" w14:textId="3112AD57" w:rsidR="007B5E15" w:rsidRPr="007B5E15" w:rsidRDefault="00B7683D" w:rsidP="00BD5E19">
      <w:pPr>
        <w:spacing w:after="240" w:line="240" w:lineRule="auto"/>
        <w:ind w:left="567"/>
        <w:rPr>
          <w:rFonts w:ascii="Comenia Serif" w:hAnsi="Comenia Serif" w:cs="Arial"/>
          <w:sz w:val="22"/>
          <w:szCs w:val="22"/>
          <w:lang w:val="x-none" w:eastAsia="x-none"/>
        </w:rPr>
      </w:pPr>
      <w:r w:rsidRPr="00B7683D">
        <w:rPr>
          <w:rFonts w:ascii="Comenia Serif" w:hAnsi="Comenia Serif" w:cs="Arial"/>
          <w:sz w:val="22"/>
          <w:szCs w:val="22"/>
          <w:lang w:val="x-none" w:eastAsia="x-none"/>
        </w:rPr>
        <w:t>Práce přesčas je vymezena v § 78 odst. 1 písm. i) ZP. Zaměstnavatel může výjimečně z vážných provozních důvodů nařídit zaměstnanci až 8 hodin práce přesčas za týden a celkově až 150 hodin v kalendářním roce. Nad tento rozsah může práci přesčas se zaměstnancem jen dohodnout.</w:t>
      </w:r>
    </w:p>
    <w:p w14:paraId="0F330F1D" w14:textId="44300FF3" w:rsidR="00B7683D" w:rsidRPr="00902453" w:rsidRDefault="00B7683D" w:rsidP="00BD5E19">
      <w:pPr>
        <w:pStyle w:val="Odstavecseseznamem"/>
        <w:numPr>
          <w:ilvl w:val="0"/>
          <w:numId w:val="5"/>
        </w:numPr>
        <w:spacing w:after="120" w:line="240" w:lineRule="auto"/>
        <w:ind w:left="567" w:hanging="567"/>
        <w:contextualSpacing w:val="0"/>
        <w:rPr>
          <w:rFonts w:ascii="Comenia Serif" w:hAnsi="Comenia Serif" w:cs="Arial"/>
          <w:sz w:val="22"/>
          <w:szCs w:val="22"/>
          <w:lang w:val="x-none" w:eastAsia="x-none"/>
        </w:rPr>
      </w:pPr>
      <w:r w:rsidRPr="00B7683D">
        <w:rPr>
          <w:rFonts w:ascii="Comenia Serif" w:hAnsi="Comenia Serif" w:cs="Arial"/>
          <w:b/>
          <w:sz w:val="22"/>
          <w:szCs w:val="22"/>
          <w:lang w:val="x-none" w:eastAsia="x-none"/>
        </w:rPr>
        <w:t>Denní odpočinek a přestávka na jídlo a oddech</w:t>
      </w:r>
    </w:p>
    <w:p w14:paraId="2DDBC3AD" w14:textId="6D39484D" w:rsidR="00BD5E19" w:rsidRPr="00BD5E19" w:rsidRDefault="00BD5E19" w:rsidP="00BD5E19">
      <w:pPr>
        <w:spacing w:after="120" w:line="240" w:lineRule="auto"/>
        <w:ind w:left="567"/>
        <w:rPr>
          <w:rFonts w:ascii="Comenia Serif" w:hAnsi="Comenia Serif" w:cs="Arial"/>
          <w:sz w:val="22"/>
          <w:szCs w:val="22"/>
        </w:rPr>
      </w:pPr>
      <w:r w:rsidRPr="00BD5E19">
        <w:rPr>
          <w:rFonts w:ascii="Comenia Serif" w:hAnsi="Comenia Serif" w:cs="Arial"/>
          <w:sz w:val="22"/>
          <w:szCs w:val="22"/>
        </w:rPr>
        <w:t>Rozsah minimálního nepřetržitého denního odpočinku, nepřetržitého odpočinku v</w:t>
      </w:r>
      <w:r>
        <w:rPr>
          <w:rFonts w:ascii="Calibri" w:hAnsi="Calibri" w:cs="Calibri"/>
          <w:sz w:val="22"/>
          <w:szCs w:val="22"/>
        </w:rPr>
        <w:t> </w:t>
      </w:r>
      <w:r w:rsidRPr="00BD5E19">
        <w:rPr>
          <w:rFonts w:ascii="Comenia Serif" w:hAnsi="Comenia Serif" w:cs="Arial"/>
          <w:sz w:val="22"/>
          <w:szCs w:val="22"/>
        </w:rPr>
        <w:t>týdnu a poskytování přestávky v práci na jídlo a oddech nebo přiměřené doby na oddech a jídlo se řídí především § 88</w:t>
      </w:r>
      <w:r>
        <w:rPr>
          <w:rFonts w:ascii="Comenia Serif" w:hAnsi="Comenia Serif" w:cs="Arial"/>
          <w:sz w:val="22"/>
          <w:szCs w:val="22"/>
        </w:rPr>
        <w:t>-</w:t>
      </w:r>
      <w:r w:rsidRPr="00BD5E19">
        <w:rPr>
          <w:rFonts w:ascii="Comenia Serif" w:hAnsi="Comenia Serif" w:cs="Arial"/>
          <w:sz w:val="22"/>
          <w:szCs w:val="22"/>
        </w:rPr>
        <w:t xml:space="preserve">92, § 96-97 ZP, platnou Kolektivní smlouvou, zejm. část IV. Pracovněprávní nároky a podmínky, odst. 18 a řídicím aktem </w:t>
      </w:r>
      <w:r w:rsidRPr="00BD5E19">
        <w:rPr>
          <w:rFonts w:ascii="Comenia Serif" w:hAnsi="Comenia Serif" w:cs="Arial"/>
          <w:i/>
          <w:sz w:val="22"/>
          <w:szCs w:val="22"/>
        </w:rPr>
        <w:t>„Rozvrhování pracovní doby, pružná pracovní doba a práce na dálku zaměstnanců UHK</w:t>
      </w:r>
      <w:r>
        <w:rPr>
          <w:rFonts w:ascii="Comenia Serif" w:hAnsi="Comenia Serif" w:cs="Arial"/>
          <w:i/>
          <w:sz w:val="22"/>
          <w:szCs w:val="22"/>
        </w:rPr>
        <w:t>.</w:t>
      </w:r>
      <w:r w:rsidRPr="00BD5E19">
        <w:rPr>
          <w:rFonts w:ascii="Comenia Serif" w:hAnsi="Comenia Serif" w:cs="Arial"/>
          <w:i/>
          <w:sz w:val="22"/>
          <w:szCs w:val="22"/>
        </w:rPr>
        <w:t>“</w:t>
      </w:r>
    </w:p>
    <w:p w14:paraId="24E1BFFC" w14:textId="1794EFB8" w:rsidR="00BD5E19" w:rsidRDefault="00993D01" w:rsidP="00993D01">
      <w:pPr>
        <w:pStyle w:val="Zkladntext"/>
        <w:numPr>
          <w:ilvl w:val="0"/>
          <w:numId w:val="10"/>
        </w:numPr>
        <w:spacing w:after="240"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BD5E19" w:rsidRPr="00B862C4">
        <w:rPr>
          <w:rFonts w:ascii="Comenia Serif" w:hAnsi="Comenia Serif" w:cs="Arial"/>
          <w:sz w:val="22"/>
          <w:szCs w:val="22"/>
        </w:rPr>
        <w:t>Rozvrhování pracovní doby, pružná pracovní doba a práce na dálku zaměstnanců UHK</w:t>
      </w:r>
    </w:p>
    <w:p w14:paraId="111C52B2" w14:textId="4A41831A" w:rsidR="009968B2" w:rsidRPr="00902453" w:rsidRDefault="009968B2" w:rsidP="009968B2">
      <w:pPr>
        <w:pStyle w:val="Odstavecseseznamem"/>
        <w:numPr>
          <w:ilvl w:val="0"/>
          <w:numId w:val="5"/>
        </w:numPr>
        <w:spacing w:after="120" w:line="240" w:lineRule="auto"/>
        <w:ind w:left="567" w:hanging="567"/>
        <w:contextualSpacing w:val="0"/>
        <w:rPr>
          <w:rFonts w:ascii="Comenia Serif" w:hAnsi="Comenia Serif" w:cs="Arial"/>
          <w:sz w:val="22"/>
          <w:szCs w:val="22"/>
          <w:lang w:val="x-none" w:eastAsia="x-none"/>
        </w:rPr>
      </w:pPr>
      <w:r w:rsidRPr="009968B2">
        <w:rPr>
          <w:rFonts w:ascii="Comenia Serif" w:hAnsi="Comenia Serif" w:cs="Arial"/>
          <w:b/>
          <w:sz w:val="22"/>
          <w:szCs w:val="22"/>
          <w:lang w:val="x-none" w:eastAsia="x-none"/>
        </w:rPr>
        <w:t>Mzda a odměňování</w:t>
      </w:r>
    </w:p>
    <w:p w14:paraId="069D2546" w14:textId="46D744B6" w:rsidR="009968B2" w:rsidRDefault="009968B2" w:rsidP="009968B2">
      <w:pPr>
        <w:spacing w:after="120" w:line="240" w:lineRule="auto"/>
        <w:ind w:left="567"/>
        <w:rPr>
          <w:rFonts w:ascii="Comenia Serif" w:hAnsi="Comenia Serif" w:cs="Arial"/>
          <w:sz w:val="22"/>
          <w:szCs w:val="22"/>
        </w:rPr>
      </w:pPr>
      <w:r w:rsidRPr="009968B2">
        <w:rPr>
          <w:rFonts w:ascii="Comenia Serif" w:hAnsi="Comenia Serif" w:cs="Arial"/>
          <w:sz w:val="22"/>
          <w:szCs w:val="22"/>
        </w:rPr>
        <w:t>Mzda a odměňování se řídí Vnitřním mzdovým předpisem. Tento předpis vymezuje i charakteristiky pracovních činností (druh práce). Podrobněji je druh práce určen pracovní náplní.</w:t>
      </w:r>
    </w:p>
    <w:p w14:paraId="4B73C352" w14:textId="1FC93A60" w:rsidR="009968B2" w:rsidRPr="00BD5E19" w:rsidRDefault="009968B2" w:rsidP="009968B2">
      <w:pPr>
        <w:spacing w:after="120" w:line="240" w:lineRule="auto"/>
        <w:ind w:left="567"/>
        <w:rPr>
          <w:rFonts w:ascii="Comenia Serif" w:hAnsi="Comenia Serif" w:cs="Arial"/>
          <w:sz w:val="22"/>
          <w:szCs w:val="22"/>
        </w:rPr>
      </w:pPr>
      <w:r w:rsidRPr="009968B2">
        <w:rPr>
          <w:rFonts w:ascii="Comenia Serif" w:hAnsi="Comenia Serif" w:cs="Arial"/>
          <w:sz w:val="22"/>
          <w:szCs w:val="22"/>
        </w:rPr>
        <w:t>Odměna z dohod o pracích konaných mimo pracovní poměr je sjednána v dohodě. Odměna je splatná po vykonání práce, a to nejpozději v kalendářním měsíci následujícím po měsíci, ve kterém vzniklo zaměstnanci právo na odměnu nebo některou její složku; termín výplaty se řídí řídicím aktem Stanovení výplatních termínů předkládaní dokladů ke mzdám. Odměna se vyplácí v korunách českých, a to bezhotovostně na účet určený zaměstnancem na základě dohody se zaměstnancem.</w:t>
      </w:r>
    </w:p>
    <w:p w14:paraId="48F243B5" w14:textId="0835F06B" w:rsidR="00DF675C" w:rsidRDefault="009968B2" w:rsidP="009968B2">
      <w:pPr>
        <w:pStyle w:val="Zkladntext"/>
        <w:spacing w:line="240" w:lineRule="auto"/>
        <w:ind w:left="567"/>
        <w:rPr>
          <w:rFonts w:ascii="Comenia Serif" w:hAnsi="Comenia Serif" w:cs="Arial"/>
          <w:sz w:val="22"/>
          <w:szCs w:val="22"/>
        </w:rPr>
      </w:pPr>
      <w:r w:rsidRPr="009968B2">
        <w:rPr>
          <w:rFonts w:ascii="Comenia Serif" w:hAnsi="Comenia Serif" w:cs="Arial"/>
          <w:sz w:val="22"/>
          <w:szCs w:val="22"/>
        </w:rPr>
        <w:t>Termíny výplaty mzdy / odměny z dohod konaných mimo pracovní poměr jsou určovány řídicím aktem (viz Stanovení výplatních termínů předkládání dokladů ke mzdám) vždy na kalendářní rok předem. Mzdové náležitosti jsou stanoveny individuálním mzdovým výměrem. Výplatní páska je zaměstnanci zasílána elektronicky formou zaheslovaného dokumentu na jeho pracovní email jmeno.prijmeni@uhk.cz. Heslo lze změnit v docházkovém systému Evidence práce. Mzda se vyplácí v korunách českých, a to bezhotovostně na účet určený zaměstnancem na základě dohody se zaměstnancem.</w:t>
      </w:r>
    </w:p>
    <w:p w14:paraId="1854EB73" w14:textId="77777777" w:rsidR="00DF675C" w:rsidRDefault="00DF675C">
      <w:pPr>
        <w:rPr>
          <w:rFonts w:ascii="Comenia Serif" w:hAnsi="Comenia Serif" w:cs="Arial"/>
          <w:sz w:val="22"/>
          <w:szCs w:val="22"/>
          <w:lang w:val="x-none" w:eastAsia="x-none"/>
        </w:rPr>
      </w:pPr>
      <w:r>
        <w:rPr>
          <w:rFonts w:ascii="Comenia Serif" w:hAnsi="Comenia Serif" w:cs="Arial"/>
          <w:sz w:val="22"/>
          <w:szCs w:val="22"/>
        </w:rPr>
        <w:br w:type="page"/>
      </w:r>
    </w:p>
    <w:p w14:paraId="6D39CE13" w14:textId="2F9CEB03" w:rsidR="009968B2" w:rsidRDefault="006803D2" w:rsidP="00993D01">
      <w:pPr>
        <w:pStyle w:val="Zkladntext"/>
        <w:numPr>
          <w:ilvl w:val="0"/>
          <w:numId w:val="10"/>
        </w:numPr>
        <w:spacing w:line="240" w:lineRule="auto"/>
        <w:ind w:left="851" w:hanging="284"/>
        <w:jc w:val="left"/>
        <w:rPr>
          <w:rFonts w:ascii="Comenia Serif" w:hAnsi="Comenia Serif" w:cs="Arial"/>
          <w:sz w:val="22"/>
          <w:szCs w:val="22"/>
        </w:rPr>
      </w:pPr>
      <w:r w:rsidRPr="006803D2">
        <w:rPr>
          <w:rFonts w:ascii="Comenia Serif" w:hAnsi="Comenia Serif" w:cs="Arial"/>
          <w:sz w:val="22"/>
          <w:szCs w:val="22"/>
        </w:rPr>
        <w:lastRenderedPageBreak/>
        <w:t xml:space="preserve">www UHK </w:t>
      </w:r>
      <w:r w:rsidR="00A01CA4">
        <w:rPr>
          <w:rFonts w:ascii="Comenia Serif" w:hAnsi="Comenia Serif" w:cs="Arial"/>
          <w:sz w:val="22"/>
          <w:szCs w:val="22"/>
          <w:lang w:val="cs-CZ"/>
        </w:rPr>
        <w:t>–</w:t>
      </w:r>
      <w:r w:rsidRPr="006803D2">
        <w:rPr>
          <w:rFonts w:ascii="Comenia Serif" w:hAnsi="Comenia Serif" w:cs="Arial"/>
          <w:sz w:val="22"/>
          <w:szCs w:val="22"/>
        </w:rPr>
        <w:t xml:space="preserve"> </w:t>
      </w:r>
      <w:r w:rsidR="009968B2" w:rsidRPr="009968B2">
        <w:rPr>
          <w:rFonts w:ascii="Comenia Serif" w:hAnsi="Comenia Serif" w:cs="Arial"/>
          <w:sz w:val="22"/>
          <w:szCs w:val="22"/>
        </w:rPr>
        <w:t>Vnitřní mzdový předpis UHK</w:t>
      </w:r>
    </w:p>
    <w:p w14:paraId="5288AC1F" w14:textId="6E4E9718" w:rsidR="009B26E9" w:rsidRDefault="00A01CA4" w:rsidP="00993D01">
      <w:pPr>
        <w:pStyle w:val="Zkladntext"/>
        <w:numPr>
          <w:ilvl w:val="0"/>
          <w:numId w:val="10"/>
        </w:numPr>
        <w:spacing w:after="240"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9B26E9" w:rsidRPr="009B26E9">
        <w:rPr>
          <w:rFonts w:ascii="Comenia Serif" w:hAnsi="Comenia Serif" w:cs="Arial"/>
          <w:sz w:val="22"/>
          <w:szCs w:val="22"/>
        </w:rPr>
        <w:t>Stanovení výplatních termínů předkládání dokladů ke mzdám</w:t>
      </w:r>
    </w:p>
    <w:p w14:paraId="65E19FFB" w14:textId="39871D8F" w:rsidR="009A3AEF" w:rsidRPr="00902453" w:rsidRDefault="009A3AEF" w:rsidP="009A3AEF">
      <w:pPr>
        <w:pStyle w:val="Odstavecseseznamem"/>
        <w:numPr>
          <w:ilvl w:val="0"/>
          <w:numId w:val="5"/>
        </w:numPr>
        <w:spacing w:after="120" w:line="240" w:lineRule="auto"/>
        <w:ind w:left="567" w:hanging="567"/>
        <w:contextualSpacing w:val="0"/>
        <w:rPr>
          <w:rFonts w:ascii="Comenia Serif" w:hAnsi="Comenia Serif" w:cs="Arial"/>
          <w:sz w:val="22"/>
          <w:szCs w:val="22"/>
          <w:lang w:val="x-none" w:eastAsia="x-none"/>
        </w:rPr>
      </w:pPr>
      <w:r w:rsidRPr="009A3AEF">
        <w:rPr>
          <w:rFonts w:ascii="Comenia Serif" w:hAnsi="Comenia Serif" w:cs="Arial"/>
          <w:b/>
          <w:sz w:val="22"/>
          <w:szCs w:val="22"/>
          <w:lang w:val="x-none" w:eastAsia="x-none"/>
        </w:rPr>
        <w:t>Kolektivní smlouva</w:t>
      </w:r>
    </w:p>
    <w:p w14:paraId="1BC35E5E" w14:textId="20702BE6" w:rsidR="009A3AEF" w:rsidRDefault="009A3AEF" w:rsidP="009A3AEF">
      <w:pPr>
        <w:spacing w:after="120" w:line="240" w:lineRule="auto"/>
        <w:ind w:left="567"/>
        <w:rPr>
          <w:rFonts w:ascii="Comenia Serif" w:hAnsi="Comenia Serif" w:cs="Arial"/>
          <w:sz w:val="22"/>
          <w:szCs w:val="22"/>
        </w:rPr>
      </w:pPr>
      <w:r w:rsidRPr="009A3AEF">
        <w:rPr>
          <w:rFonts w:ascii="Comenia Serif" w:hAnsi="Comenia Serif" w:cs="Arial"/>
          <w:sz w:val="22"/>
          <w:szCs w:val="22"/>
        </w:rPr>
        <w:t>Univerzita Hradec Králové uzavírá Kolektivní smlouvu se Základní organizací Vysokoškolského odborového svazu při Univerzitě Hradec Králové. Text platné Kolektivní smlouvy je uveden ve veřejné části internetových stránek UHK.</w:t>
      </w:r>
    </w:p>
    <w:p w14:paraId="68330BC9" w14:textId="46B17092" w:rsidR="009A3AEF" w:rsidRDefault="00993D01" w:rsidP="00993D01">
      <w:pPr>
        <w:pStyle w:val="Zkladntext"/>
        <w:numPr>
          <w:ilvl w:val="0"/>
          <w:numId w:val="10"/>
        </w:numPr>
        <w:spacing w:after="240" w:line="240" w:lineRule="auto"/>
        <w:ind w:left="851" w:hanging="284"/>
        <w:jc w:val="left"/>
        <w:rPr>
          <w:rFonts w:ascii="Comenia Serif" w:hAnsi="Comenia Serif" w:cs="Arial"/>
          <w:sz w:val="22"/>
          <w:szCs w:val="22"/>
        </w:rPr>
      </w:pPr>
      <w:r w:rsidRPr="006803D2">
        <w:rPr>
          <w:rFonts w:ascii="Comenia Serif" w:hAnsi="Comenia Serif" w:cs="Arial"/>
          <w:sz w:val="22"/>
          <w:szCs w:val="22"/>
        </w:rPr>
        <w:t xml:space="preserve">www UHK </w:t>
      </w:r>
      <w:r>
        <w:rPr>
          <w:rFonts w:ascii="Comenia Serif" w:hAnsi="Comenia Serif" w:cs="Arial"/>
          <w:sz w:val="22"/>
          <w:szCs w:val="22"/>
          <w:lang w:val="cs-CZ"/>
        </w:rPr>
        <w:t>–</w:t>
      </w:r>
      <w:r w:rsidRPr="006803D2">
        <w:rPr>
          <w:rFonts w:ascii="Comenia Serif" w:hAnsi="Comenia Serif" w:cs="Arial"/>
          <w:sz w:val="22"/>
          <w:szCs w:val="22"/>
        </w:rPr>
        <w:t xml:space="preserve"> </w:t>
      </w:r>
      <w:r w:rsidR="009A3AEF" w:rsidRPr="00524F97">
        <w:rPr>
          <w:rFonts w:ascii="Comenia Serif" w:hAnsi="Comenia Serif" w:cs="Arial"/>
          <w:sz w:val="22"/>
          <w:szCs w:val="22"/>
        </w:rPr>
        <w:t>Kolektivní smlouva</w:t>
      </w:r>
    </w:p>
    <w:p w14:paraId="55970B16" w14:textId="3EE802E2" w:rsidR="009A3AEF" w:rsidRPr="00902453" w:rsidRDefault="009A3AEF" w:rsidP="009A3AEF">
      <w:pPr>
        <w:pStyle w:val="Odstavecseseznamem"/>
        <w:numPr>
          <w:ilvl w:val="0"/>
          <w:numId w:val="5"/>
        </w:numPr>
        <w:spacing w:after="120" w:line="240" w:lineRule="auto"/>
        <w:ind w:left="567" w:hanging="567"/>
        <w:contextualSpacing w:val="0"/>
        <w:rPr>
          <w:rFonts w:ascii="Comenia Serif" w:hAnsi="Comenia Serif" w:cs="Arial"/>
          <w:sz w:val="22"/>
          <w:szCs w:val="22"/>
          <w:lang w:val="x-none" w:eastAsia="x-none"/>
        </w:rPr>
      </w:pPr>
      <w:r w:rsidRPr="009A3AEF">
        <w:rPr>
          <w:rFonts w:ascii="Comenia Serif" w:hAnsi="Comenia Serif" w:cs="Arial"/>
          <w:b/>
          <w:sz w:val="22"/>
          <w:szCs w:val="22"/>
          <w:lang w:val="x-none" w:eastAsia="x-none"/>
        </w:rPr>
        <w:t>Orgán sociálního zabezpečení</w:t>
      </w:r>
    </w:p>
    <w:p w14:paraId="1E912D73" w14:textId="1879CD54" w:rsidR="009A3AEF" w:rsidRDefault="009A3AEF" w:rsidP="00524F97">
      <w:pPr>
        <w:spacing w:after="240" w:line="240" w:lineRule="auto"/>
        <w:ind w:left="567"/>
        <w:rPr>
          <w:rFonts w:ascii="Comenia Serif" w:hAnsi="Comenia Serif" w:cs="Arial"/>
          <w:sz w:val="22"/>
          <w:szCs w:val="22"/>
        </w:rPr>
      </w:pPr>
      <w:r w:rsidRPr="009A3AEF">
        <w:rPr>
          <w:rFonts w:ascii="Comenia Serif" w:hAnsi="Comenia Serif" w:cs="Arial"/>
          <w:sz w:val="22"/>
          <w:szCs w:val="22"/>
        </w:rPr>
        <w:t>Pojistné na sociální zabezpečení zaměstnance (nemocenské a důchodové) odvádí zaměstnavatel na účet správy sociálního zabezpečení místně příslušné (OSSZ Hradec Králové) podle § 7 zákona č. 582/1991 Sb., o organizaci a provádění sociálního zabezpečení, ve znění pozdějších předpisů. U zahraničních zaměstnanců ze zemí EU, EHP a Švýcarska, kteří mají podle formuláře A1 podléhat právním předpisům jiného státu, je orgánem sociálního zabezpečení orgán určený těmito předpisy.</w:t>
      </w:r>
    </w:p>
    <w:p w14:paraId="3C8D32C1" w14:textId="4BBFC0B1" w:rsidR="00524F97" w:rsidRDefault="00524F97" w:rsidP="00524F97">
      <w:pPr>
        <w:pStyle w:val="Odstavecseseznamem"/>
        <w:numPr>
          <w:ilvl w:val="0"/>
          <w:numId w:val="5"/>
        </w:numPr>
        <w:spacing w:after="120" w:line="240" w:lineRule="auto"/>
        <w:ind w:left="567" w:hanging="567"/>
        <w:contextualSpacing w:val="0"/>
        <w:rPr>
          <w:rFonts w:ascii="Comenia Serif" w:hAnsi="Comenia Serif" w:cs="Arial"/>
          <w:sz w:val="22"/>
          <w:szCs w:val="22"/>
        </w:rPr>
      </w:pPr>
      <w:r w:rsidRPr="00524F97">
        <w:rPr>
          <w:rFonts w:ascii="Comenia Serif" w:hAnsi="Comenia Serif" w:cs="Arial"/>
          <w:sz w:val="22"/>
          <w:szCs w:val="22"/>
        </w:rPr>
        <w:t>Zaměstnanec je povinen se seznámit s dalšími vnitřními předpisy a řídícími akty, jejich plné znění k dohledání na www UHK:</w:t>
      </w:r>
    </w:p>
    <w:p w14:paraId="1603A6C7" w14:textId="77777777"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Evidence pracovní doby</w:t>
      </w:r>
    </w:p>
    <w:p w14:paraId="2521D80B" w14:textId="77777777"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Stanovení postupů v systému evidence práce</w:t>
      </w:r>
    </w:p>
    <w:p w14:paraId="1E69D6DE" w14:textId="77777777"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Směrnice o cestovních výdajích</w:t>
      </w:r>
    </w:p>
    <w:p w14:paraId="5D64D751" w14:textId="77777777"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Posuzování zdravotní způsobilosti k výkonu práce</w:t>
      </w:r>
    </w:p>
    <w:p w14:paraId="00A52202" w14:textId="77777777"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Závodní stravování</w:t>
      </w:r>
    </w:p>
    <w:p w14:paraId="5A166990" w14:textId="77777777"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Pravidla pro poskytování příspěvku k penzijnímu připojištění a životnímu pojištění</w:t>
      </w:r>
    </w:p>
    <w:p w14:paraId="28DC940E" w14:textId="77777777"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Provozní řád informačních a komunikačních technologií</w:t>
      </w:r>
    </w:p>
    <w:p w14:paraId="31289AC1" w14:textId="77777777"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Obecná pravidla o ochraně a zpracování osobních údajů pracovníky UHK</w:t>
      </w:r>
    </w:p>
    <w:p w14:paraId="7DC5A464" w14:textId="77777777" w:rsidR="00524F97" w:rsidRP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Spisový a skartační řád</w:t>
      </w:r>
    </w:p>
    <w:p w14:paraId="74118E50" w14:textId="680202DF" w:rsidR="00524F97" w:rsidRDefault="00524F97" w:rsidP="00524F97">
      <w:pPr>
        <w:pStyle w:val="Odstavecseseznamem"/>
        <w:numPr>
          <w:ilvl w:val="0"/>
          <w:numId w:val="12"/>
        </w:numPr>
        <w:spacing w:after="120" w:line="240" w:lineRule="auto"/>
        <w:ind w:left="851" w:hanging="284"/>
        <w:contextualSpacing w:val="0"/>
        <w:jc w:val="left"/>
        <w:rPr>
          <w:rFonts w:ascii="Comenia Serif" w:hAnsi="Comenia Serif" w:cs="Arial"/>
          <w:sz w:val="22"/>
          <w:szCs w:val="22"/>
          <w:lang w:eastAsia="x-none"/>
        </w:rPr>
      </w:pPr>
      <w:r w:rsidRPr="00524F97">
        <w:rPr>
          <w:rFonts w:ascii="Comenia Serif" w:hAnsi="Comenia Serif" w:cs="Arial"/>
          <w:sz w:val="22"/>
          <w:szCs w:val="22"/>
          <w:lang w:eastAsia="x-none"/>
        </w:rPr>
        <w:t>Zaměstnanecké benefity</w:t>
      </w:r>
    </w:p>
    <w:p w14:paraId="2F608B98" w14:textId="0B3AE596" w:rsidR="00524F97" w:rsidRDefault="00524F97" w:rsidP="00F07C00">
      <w:pPr>
        <w:spacing w:after="240" w:line="240" w:lineRule="auto"/>
        <w:ind w:left="567"/>
        <w:rPr>
          <w:rFonts w:ascii="Comenia Serif" w:hAnsi="Comenia Serif" w:cs="Arial"/>
          <w:sz w:val="22"/>
          <w:szCs w:val="22"/>
          <w:lang w:eastAsia="x-none"/>
        </w:rPr>
      </w:pPr>
      <w:r w:rsidRPr="00524F97">
        <w:rPr>
          <w:rFonts w:ascii="Comenia Serif" w:hAnsi="Comenia Serif" w:cs="Arial"/>
          <w:sz w:val="22"/>
          <w:szCs w:val="22"/>
          <w:lang w:eastAsia="x-none"/>
        </w:rPr>
        <w:t>Souhrnné informace UHK</w:t>
      </w:r>
      <w:r w:rsidR="00457E75">
        <w:rPr>
          <w:rFonts w:ascii="Comenia Serif" w:hAnsi="Comenia Serif" w:cs="Arial"/>
          <w:sz w:val="22"/>
          <w:szCs w:val="22"/>
          <w:lang w:eastAsia="x-none"/>
        </w:rPr>
        <w:t>,</w:t>
      </w:r>
      <w:r w:rsidRPr="00524F97">
        <w:rPr>
          <w:rFonts w:ascii="Comenia Serif" w:hAnsi="Comenia Serif" w:cs="Arial"/>
          <w:sz w:val="22"/>
          <w:szCs w:val="22"/>
          <w:lang w:eastAsia="x-none"/>
        </w:rPr>
        <w:t xml:space="preserve"> pro nové zaměstnance v pracovním poměru</w:t>
      </w:r>
      <w:r w:rsidR="00457E75">
        <w:rPr>
          <w:rFonts w:ascii="Comenia Serif" w:hAnsi="Comenia Serif" w:cs="Arial"/>
          <w:sz w:val="22"/>
          <w:szCs w:val="22"/>
          <w:lang w:eastAsia="x-none"/>
        </w:rPr>
        <w:t>, naleznete</w:t>
      </w:r>
      <w:r w:rsidRPr="00524F97">
        <w:rPr>
          <w:rFonts w:ascii="Comenia Serif" w:hAnsi="Comenia Serif" w:cs="Arial"/>
          <w:sz w:val="22"/>
          <w:szCs w:val="22"/>
          <w:lang w:eastAsia="x-none"/>
        </w:rPr>
        <w:t xml:space="preserve"> </w:t>
      </w:r>
      <w:r w:rsidR="00457E75">
        <w:rPr>
          <w:rFonts w:ascii="Comenia Serif" w:hAnsi="Comenia Serif" w:cs="Arial"/>
          <w:sz w:val="22"/>
          <w:szCs w:val="22"/>
          <w:lang w:eastAsia="x-none"/>
        </w:rPr>
        <w:t xml:space="preserve">na </w:t>
      </w:r>
      <w:hyperlink r:id="rId10" w:history="1">
        <w:r w:rsidR="004C2052">
          <w:rPr>
            <w:rStyle w:val="Hypertextovodkaz"/>
            <w:rFonts w:ascii="Comenia Serif" w:hAnsi="Comenia Serif" w:cs="Arial"/>
            <w:sz w:val="22"/>
            <w:szCs w:val="22"/>
            <w:lang w:eastAsia="x-none"/>
          </w:rPr>
          <w:t>https://kurzy.uhk.cz/course/view.php?id=5430</w:t>
        </w:r>
      </w:hyperlink>
      <w:r w:rsidR="00457E75">
        <w:rPr>
          <w:rFonts w:ascii="Comenia Serif" w:hAnsi="Comenia Serif" w:cs="Arial"/>
          <w:sz w:val="22"/>
          <w:szCs w:val="22"/>
          <w:lang w:eastAsia="x-none"/>
        </w:rPr>
        <w:t xml:space="preserve"> (</w:t>
      </w:r>
      <w:r w:rsidR="00457E75" w:rsidRPr="00524F97">
        <w:rPr>
          <w:rFonts w:ascii="Comenia Serif" w:hAnsi="Comenia Serif" w:cs="Arial"/>
          <w:sz w:val="22"/>
          <w:szCs w:val="22"/>
          <w:lang w:eastAsia="x-none"/>
        </w:rPr>
        <w:t xml:space="preserve">login </w:t>
      </w:r>
      <w:r w:rsidR="00457E75">
        <w:rPr>
          <w:rFonts w:ascii="Comenia Serif" w:hAnsi="Comenia Serif" w:cs="Arial"/>
          <w:sz w:val="22"/>
          <w:szCs w:val="22"/>
          <w:lang w:eastAsia="x-none"/>
        </w:rPr>
        <w:t xml:space="preserve">získáte </w:t>
      </w:r>
      <w:r w:rsidR="00457E75" w:rsidRPr="00524F97">
        <w:rPr>
          <w:rFonts w:ascii="Comenia Serif" w:hAnsi="Comenia Serif" w:cs="Arial"/>
          <w:sz w:val="22"/>
          <w:szCs w:val="22"/>
          <w:lang w:eastAsia="x-none"/>
        </w:rPr>
        <w:t>až po dni nástupu</w:t>
      </w:r>
      <w:r w:rsidR="00457E75">
        <w:rPr>
          <w:rFonts w:ascii="Comenia Serif" w:hAnsi="Comenia Serif" w:cs="Arial"/>
          <w:sz w:val="22"/>
          <w:szCs w:val="22"/>
          <w:lang w:eastAsia="x-none"/>
        </w:rPr>
        <w:t>).</w:t>
      </w:r>
    </w:p>
    <w:p w14:paraId="33A5B884" w14:textId="1A03960E" w:rsidR="00F07C00" w:rsidRDefault="00F07C00" w:rsidP="00DF675C">
      <w:pPr>
        <w:pStyle w:val="Odstavecseseznamem"/>
        <w:numPr>
          <w:ilvl w:val="0"/>
          <w:numId w:val="5"/>
        </w:numPr>
        <w:spacing w:after="480" w:line="240" w:lineRule="auto"/>
        <w:ind w:left="567" w:hanging="567"/>
        <w:contextualSpacing w:val="0"/>
        <w:rPr>
          <w:rFonts w:ascii="Comenia Serif" w:hAnsi="Comenia Serif" w:cs="Arial"/>
          <w:sz w:val="22"/>
          <w:szCs w:val="22"/>
        </w:rPr>
      </w:pPr>
      <w:r w:rsidRPr="00F07C00">
        <w:rPr>
          <w:rFonts w:ascii="Comenia Serif" w:hAnsi="Comenia Serif" w:cs="Arial"/>
          <w:sz w:val="22"/>
          <w:szCs w:val="22"/>
        </w:rPr>
        <w:t>Nedílnou součástí nastupujícího zaměstnance je proškolení BOZP, PO, BOZP při práci na dálku, a to nejpozději v den nástupu.</w:t>
      </w:r>
    </w:p>
    <w:p w14:paraId="32565234" w14:textId="0492446A" w:rsidR="00AC71D5" w:rsidRDefault="00DF675C" w:rsidP="00071F3B">
      <w:pPr>
        <w:spacing w:after="120" w:line="240" w:lineRule="auto"/>
        <w:jc w:val="left"/>
        <w:rPr>
          <w:rFonts w:ascii="Comenia Serif" w:eastAsia="Times New Roman" w:hAnsi="Comenia Serif" w:cs="Times New Roman"/>
          <w:b/>
          <w:sz w:val="22"/>
          <w:szCs w:val="22"/>
          <w:lang w:eastAsia="cs-CZ"/>
        </w:rPr>
      </w:pPr>
      <w:r>
        <w:rPr>
          <w:rFonts w:ascii="Comenia Serif" w:eastAsia="Times New Roman" w:hAnsi="Comenia Serif" w:cs="Times New Roman"/>
          <w:sz w:val="22"/>
          <w:szCs w:val="22"/>
          <w:lang w:eastAsia="cs-CZ"/>
        </w:rPr>
        <w:t xml:space="preserve">Zaměstnanec: </w:t>
      </w:r>
      <w:r w:rsidR="00071F3B">
        <w:rPr>
          <w:rFonts w:ascii="Comenia Serif" w:eastAsia="Times New Roman" w:hAnsi="Comenia Serif" w:cs="Times New Roman"/>
          <w:b/>
          <w:sz w:val="22"/>
          <w:szCs w:val="22"/>
          <w:lang w:eastAsia="cs-CZ"/>
        </w:rPr>
        <w:fldChar w:fldCharType="begin">
          <w:ffData>
            <w:name w:val="Text2"/>
            <w:enabled/>
            <w:calcOnExit w:val="0"/>
            <w:textInput/>
          </w:ffData>
        </w:fldChar>
      </w:r>
      <w:bookmarkStart w:id="2" w:name="Text2"/>
      <w:r w:rsidR="00071F3B">
        <w:rPr>
          <w:rFonts w:ascii="Comenia Serif" w:eastAsia="Times New Roman" w:hAnsi="Comenia Serif" w:cs="Times New Roman"/>
          <w:b/>
          <w:sz w:val="22"/>
          <w:szCs w:val="22"/>
          <w:lang w:eastAsia="cs-CZ"/>
        </w:rPr>
        <w:instrText xml:space="preserve"> FORMTEXT </w:instrText>
      </w:r>
      <w:r w:rsidR="00071F3B">
        <w:rPr>
          <w:rFonts w:ascii="Comenia Serif" w:eastAsia="Times New Roman" w:hAnsi="Comenia Serif" w:cs="Times New Roman"/>
          <w:b/>
          <w:sz w:val="22"/>
          <w:szCs w:val="22"/>
          <w:lang w:eastAsia="cs-CZ"/>
        </w:rPr>
      </w:r>
      <w:r w:rsidR="00071F3B">
        <w:rPr>
          <w:rFonts w:ascii="Comenia Serif" w:eastAsia="Times New Roman" w:hAnsi="Comenia Serif" w:cs="Times New Roman"/>
          <w:b/>
          <w:sz w:val="22"/>
          <w:szCs w:val="22"/>
          <w:lang w:eastAsia="cs-CZ"/>
        </w:rPr>
        <w:fldChar w:fldCharType="separate"/>
      </w:r>
      <w:r w:rsidR="00071F3B">
        <w:rPr>
          <w:rFonts w:ascii="Comenia Serif" w:eastAsia="Times New Roman" w:hAnsi="Comenia Serif" w:cs="Times New Roman"/>
          <w:b/>
          <w:noProof/>
          <w:sz w:val="22"/>
          <w:szCs w:val="22"/>
          <w:lang w:eastAsia="cs-CZ"/>
        </w:rPr>
        <w:t>doplňte jméno a příjmení</w:t>
      </w:r>
      <w:r w:rsidR="00071F3B">
        <w:rPr>
          <w:rFonts w:ascii="Comenia Serif" w:eastAsia="Times New Roman" w:hAnsi="Comenia Serif" w:cs="Times New Roman"/>
          <w:b/>
          <w:sz w:val="22"/>
          <w:szCs w:val="22"/>
          <w:lang w:eastAsia="cs-CZ"/>
        </w:rPr>
        <w:fldChar w:fldCharType="end"/>
      </w:r>
      <w:bookmarkEnd w:id="2"/>
      <w:r w:rsidR="00071F3B">
        <w:rPr>
          <w:rFonts w:ascii="Comenia Serif" w:eastAsia="Times New Roman" w:hAnsi="Comenia Serif" w:cs="Times New Roman"/>
          <w:sz w:val="22"/>
          <w:szCs w:val="22"/>
          <w:lang w:eastAsia="cs-CZ"/>
        </w:rPr>
        <w:t xml:space="preserve">, ČPP: </w:t>
      </w:r>
      <w:r w:rsidR="00071F3B" w:rsidRPr="00071F3B">
        <w:rPr>
          <w:rFonts w:ascii="Comenia Serif" w:eastAsia="Times New Roman" w:hAnsi="Comenia Serif" w:cs="Times New Roman"/>
          <w:b/>
          <w:sz w:val="22"/>
          <w:szCs w:val="22"/>
          <w:lang w:eastAsia="cs-CZ"/>
        </w:rPr>
        <w:fldChar w:fldCharType="begin">
          <w:ffData>
            <w:name w:val="Text3"/>
            <w:enabled/>
            <w:calcOnExit w:val="0"/>
            <w:textInput/>
          </w:ffData>
        </w:fldChar>
      </w:r>
      <w:bookmarkStart w:id="3" w:name="Text3"/>
      <w:r w:rsidR="00071F3B" w:rsidRPr="00071F3B">
        <w:rPr>
          <w:rFonts w:ascii="Comenia Serif" w:eastAsia="Times New Roman" w:hAnsi="Comenia Serif" w:cs="Times New Roman"/>
          <w:b/>
          <w:sz w:val="22"/>
          <w:szCs w:val="22"/>
          <w:lang w:eastAsia="cs-CZ"/>
        </w:rPr>
        <w:instrText xml:space="preserve"> FORMTEXT </w:instrText>
      </w:r>
      <w:r w:rsidR="00071F3B" w:rsidRPr="00071F3B">
        <w:rPr>
          <w:rFonts w:ascii="Comenia Serif" w:eastAsia="Times New Roman" w:hAnsi="Comenia Serif" w:cs="Times New Roman"/>
          <w:b/>
          <w:sz w:val="22"/>
          <w:szCs w:val="22"/>
          <w:lang w:eastAsia="cs-CZ"/>
        </w:rPr>
      </w:r>
      <w:r w:rsidR="00071F3B" w:rsidRPr="00071F3B">
        <w:rPr>
          <w:rFonts w:ascii="Comenia Serif" w:eastAsia="Times New Roman" w:hAnsi="Comenia Serif" w:cs="Times New Roman"/>
          <w:b/>
          <w:sz w:val="22"/>
          <w:szCs w:val="22"/>
          <w:lang w:eastAsia="cs-CZ"/>
        </w:rPr>
        <w:fldChar w:fldCharType="separate"/>
      </w:r>
      <w:r w:rsidR="00071F3B">
        <w:rPr>
          <w:rFonts w:ascii="Comenia Serif" w:eastAsia="Times New Roman" w:hAnsi="Comenia Serif" w:cs="Times New Roman"/>
          <w:b/>
          <w:noProof/>
          <w:sz w:val="22"/>
          <w:szCs w:val="22"/>
          <w:lang w:eastAsia="cs-CZ"/>
        </w:rPr>
        <w:t>doplňte číslo</w:t>
      </w:r>
      <w:r w:rsidR="00071F3B" w:rsidRPr="00071F3B">
        <w:rPr>
          <w:rFonts w:ascii="Comenia Serif" w:eastAsia="Times New Roman" w:hAnsi="Comenia Serif" w:cs="Times New Roman"/>
          <w:b/>
          <w:sz w:val="22"/>
          <w:szCs w:val="22"/>
          <w:lang w:eastAsia="cs-CZ"/>
        </w:rPr>
        <w:fldChar w:fldCharType="end"/>
      </w:r>
      <w:bookmarkEnd w:id="3"/>
    </w:p>
    <w:p w14:paraId="13825987" w14:textId="33DCBF3A" w:rsidR="00071F3B" w:rsidRDefault="00071F3B" w:rsidP="00071F3B">
      <w:pPr>
        <w:spacing w:after="360" w:line="240" w:lineRule="auto"/>
        <w:jc w:val="left"/>
        <w:rPr>
          <w:rFonts w:ascii="Comenia Serif" w:eastAsia="Times New Roman" w:hAnsi="Comenia Serif" w:cs="Times New Roman"/>
          <w:b/>
          <w:sz w:val="22"/>
          <w:szCs w:val="22"/>
          <w:lang w:eastAsia="cs-CZ"/>
        </w:rPr>
      </w:pPr>
      <w:r>
        <w:rPr>
          <w:rFonts w:ascii="Comenia Serif" w:eastAsia="Times New Roman" w:hAnsi="Comenia Serif" w:cs="Times New Roman"/>
          <w:sz w:val="22"/>
          <w:szCs w:val="22"/>
          <w:lang w:eastAsia="cs-CZ"/>
        </w:rPr>
        <w:t xml:space="preserve">Převzato dne: </w:t>
      </w:r>
      <w:r>
        <w:rPr>
          <w:rFonts w:ascii="Comenia Serif" w:eastAsia="Times New Roman" w:hAnsi="Comenia Serif" w:cs="Times New Roman"/>
          <w:b/>
          <w:sz w:val="22"/>
          <w:szCs w:val="22"/>
          <w:lang w:eastAsia="cs-CZ"/>
        </w:rPr>
        <w:fldChar w:fldCharType="begin">
          <w:ffData>
            <w:name w:val="Text4"/>
            <w:enabled/>
            <w:calcOnExit w:val="0"/>
            <w:textInput/>
          </w:ffData>
        </w:fldChar>
      </w:r>
      <w:bookmarkStart w:id="4" w:name="Text4"/>
      <w:r>
        <w:rPr>
          <w:rFonts w:ascii="Comenia Serif" w:eastAsia="Times New Roman" w:hAnsi="Comenia Serif" w:cs="Times New Roman"/>
          <w:b/>
          <w:sz w:val="22"/>
          <w:szCs w:val="22"/>
          <w:lang w:eastAsia="cs-CZ"/>
        </w:rPr>
        <w:instrText xml:space="preserve"> FORMTEXT </w:instrText>
      </w:r>
      <w:r>
        <w:rPr>
          <w:rFonts w:ascii="Comenia Serif" w:eastAsia="Times New Roman" w:hAnsi="Comenia Serif" w:cs="Times New Roman"/>
          <w:b/>
          <w:sz w:val="22"/>
          <w:szCs w:val="22"/>
          <w:lang w:eastAsia="cs-CZ"/>
        </w:rPr>
      </w:r>
      <w:r>
        <w:rPr>
          <w:rFonts w:ascii="Comenia Serif" w:eastAsia="Times New Roman" w:hAnsi="Comenia Serif" w:cs="Times New Roman"/>
          <w:b/>
          <w:sz w:val="22"/>
          <w:szCs w:val="22"/>
          <w:lang w:eastAsia="cs-CZ"/>
        </w:rPr>
        <w:fldChar w:fldCharType="separate"/>
      </w:r>
      <w:r>
        <w:rPr>
          <w:rFonts w:ascii="Comenia Serif" w:eastAsia="Times New Roman" w:hAnsi="Comenia Serif" w:cs="Times New Roman"/>
          <w:b/>
          <w:noProof/>
          <w:sz w:val="22"/>
          <w:szCs w:val="22"/>
          <w:lang w:eastAsia="cs-CZ"/>
        </w:rPr>
        <w:t>1. 10. 2023</w:t>
      </w:r>
      <w:r>
        <w:rPr>
          <w:rFonts w:ascii="Comenia Serif" w:eastAsia="Times New Roman" w:hAnsi="Comenia Serif" w:cs="Times New Roman"/>
          <w:b/>
          <w:sz w:val="22"/>
          <w:szCs w:val="22"/>
          <w:lang w:eastAsia="cs-CZ"/>
        </w:rPr>
        <w:fldChar w:fldCharType="end"/>
      </w:r>
      <w:bookmarkEnd w:id="4"/>
    </w:p>
    <w:p w14:paraId="08B5AE6F" w14:textId="55A8B594" w:rsidR="00F74F02" w:rsidRPr="00071F3B" w:rsidRDefault="00071F3B" w:rsidP="00071F3B">
      <w:pPr>
        <w:spacing w:after="0" w:line="240" w:lineRule="auto"/>
        <w:jc w:val="left"/>
        <w:rPr>
          <w:rFonts w:ascii="Comenia Serif" w:eastAsia="Times New Roman" w:hAnsi="Comenia Serif" w:cs="Times New Roman"/>
          <w:sz w:val="22"/>
          <w:szCs w:val="22"/>
          <w:lang w:eastAsia="cs-CZ"/>
        </w:rPr>
      </w:pPr>
      <w:r w:rsidRPr="00071F3B">
        <w:rPr>
          <w:rFonts w:ascii="Comenia Serif" w:eastAsia="Times New Roman" w:hAnsi="Comenia Serif" w:cs="Times New Roman"/>
          <w:sz w:val="22"/>
          <w:szCs w:val="22"/>
          <w:lang w:eastAsia="cs-CZ"/>
        </w:rPr>
        <w:t>Podpis zaměstnance:</w:t>
      </w:r>
      <w:r>
        <w:rPr>
          <w:rFonts w:ascii="Comenia Serif" w:eastAsia="Times New Roman" w:hAnsi="Comenia Serif" w:cs="Times New Roman"/>
          <w:sz w:val="22"/>
          <w:szCs w:val="22"/>
          <w:lang w:eastAsia="cs-CZ"/>
        </w:rPr>
        <w:t xml:space="preserve"> </w:t>
      </w:r>
      <w:r w:rsidRPr="00AC71D5">
        <w:rPr>
          <w:rFonts w:ascii="Comenia Serif" w:hAnsi="Comenia Serif"/>
        </w:rPr>
        <w:t>…..…..…..…..…..…..…..…..…..</w:t>
      </w:r>
    </w:p>
    <w:sectPr w:rsidR="00F74F02" w:rsidRPr="00071F3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C9375" w14:textId="77777777" w:rsidR="0084584C" w:rsidRDefault="0084584C">
      <w:r>
        <w:separator/>
      </w:r>
    </w:p>
  </w:endnote>
  <w:endnote w:type="continuationSeparator" w:id="0">
    <w:p w14:paraId="72B4FD54" w14:textId="77777777" w:rsidR="0084584C" w:rsidRDefault="0084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omenia Sans">
    <w:altName w:val="Times New Roman"/>
    <w:panose1 w:val="02000503080000020004"/>
    <w:charset w:val="00"/>
    <w:family w:val="modern"/>
    <w:notTrueType/>
    <w:pitch w:val="variable"/>
    <w:sig w:usb0="A00000AF" w:usb1="5000207A" w:usb2="00000000" w:usb3="00000000" w:csb0="00000193"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menia Serif">
    <w:panose1 w:val="02000503000000020004"/>
    <w:charset w:val="00"/>
    <w:family w:val="modern"/>
    <w:notTrueType/>
    <w:pitch w:val="variable"/>
    <w:sig w:usb0="A00000AF" w:usb1="5000207B" w:usb2="00000004"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7D68" w14:textId="1AC63C02" w:rsidR="0089760B" w:rsidRPr="00065E96" w:rsidRDefault="00CD0B96" w:rsidP="00065E96">
    <w:pPr>
      <w:pStyle w:val="Zpat"/>
      <w:jc w:val="center"/>
      <w:rPr>
        <w:rFonts w:ascii="Comenia Serif" w:hAnsi="Comenia Serif"/>
      </w:rPr>
    </w:pPr>
    <w:r w:rsidRPr="00065E96">
      <w:rPr>
        <w:rFonts w:ascii="Comenia Serif" w:hAnsi="Comenia Serif"/>
      </w:rPr>
      <w:t xml:space="preserve">Str. </w:t>
    </w:r>
    <w:r w:rsidRPr="00065E96">
      <w:rPr>
        <w:rFonts w:ascii="Comenia Serif" w:hAnsi="Comenia Serif"/>
        <w:b/>
        <w:bCs/>
      </w:rPr>
      <w:fldChar w:fldCharType="begin"/>
    </w:r>
    <w:r w:rsidRPr="00065E96">
      <w:rPr>
        <w:rFonts w:ascii="Comenia Serif" w:hAnsi="Comenia Serif"/>
        <w:b/>
        <w:bCs/>
      </w:rPr>
      <w:instrText>PAGE</w:instrText>
    </w:r>
    <w:r w:rsidRPr="00065E96">
      <w:rPr>
        <w:rFonts w:ascii="Comenia Serif" w:hAnsi="Comenia Serif"/>
        <w:b/>
        <w:bCs/>
      </w:rPr>
      <w:fldChar w:fldCharType="separate"/>
    </w:r>
    <w:r w:rsidR="00E727F4" w:rsidRPr="00065E96">
      <w:rPr>
        <w:rFonts w:ascii="Comenia Serif" w:hAnsi="Comenia Serif"/>
        <w:b/>
        <w:bCs/>
        <w:noProof/>
      </w:rPr>
      <w:t>4</w:t>
    </w:r>
    <w:r w:rsidRPr="00065E96">
      <w:rPr>
        <w:rFonts w:ascii="Comenia Serif" w:hAnsi="Comenia Serif"/>
        <w:b/>
        <w:bCs/>
      </w:rPr>
      <w:fldChar w:fldCharType="end"/>
    </w:r>
    <w:r w:rsidRPr="00065E96">
      <w:rPr>
        <w:rFonts w:ascii="Comenia Serif" w:hAnsi="Comenia Serif"/>
      </w:rPr>
      <w:t xml:space="preserve"> z </w:t>
    </w:r>
    <w:r w:rsidRPr="00065E96">
      <w:rPr>
        <w:rFonts w:ascii="Comenia Serif" w:hAnsi="Comenia Serif"/>
        <w:b/>
        <w:bCs/>
      </w:rPr>
      <w:fldChar w:fldCharType="begin"/>
    </w:r>
    <w:r w:rsidRPr="00065E96">
      <w:rPr>
        <w:rFonts w:ascii="Comenia Serif" w:hAnsi="Comenia Serif"/>
        <w:b/>
        <w:bCs/>
      </w:rPr>
      <w:instrText>NUMPAGES</w:instrText>
    </w:r>
    <w:r w:rsidRPr="00065E96">
      <w:rPr>
        <w:rFonts w:ascii="Comenia Serif" w:hAnsi="Comenia Serif"/>
        <w:b/>
        <w:bCs/>
      </w:rPr>
      <w:fldChar w:fldCharType="separate"/>
    </w:r>
    <w:r w:rsidR="00E727F4" w:rsidRPr="00065E96">
      <w:rPr>
        <w:rFonts w:ascii="Comenia Serif" w:hAnsi="Comenia Serif"/>
        <w:b/>
        <w:bCs/>
        <w:noProof/>
      </w:rPr>
      <w:t>4</w:t>
    </w:r>
    <w:r w:rsidRPr="00065E96">
      <w:rPr>
        <w:rFonts w:ascii="Comenia Serif" w:hAnsi="Comenia Serif"/>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B212" w14:textId="77777777" w:rsidR="0084584C" w:rsidRDefault="0084584C">
      <w:r>
        <w:separator/>
      </w:r>
    </w:p>
  </w:footnote>
  <w:footnote w:type="continuationSeparator" w:id="0">
    <w:p w14:paraId="59FDCD58" w14:textId="77777777" w:rsidR="0084584C" w:rsidRDefault="0084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3CA"/>
    <w:multiLevelType w:val="multilevel"/>
    <w:tmpl w:val="1B8288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FD4817"/>
    <w:multiLevelType w:val="multilevel"/>
    <w:tmpl w:val="5DD068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EF32C8"/>
    <w:multiLevelType w:val="hybridMultilevel"/>
    <w:tmpl w:val="7FE6F9FE"/>
    <w:lvl w:ilvl="0" w:tplc="A12EE644">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36B2AF3"/>
    <w:multiLevelType w:val="hybridMultilevel"/>
    <w:tmpl w:val="97088C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1521C0"/>
    <w:multiLevelType w:val="hybridMultilevel"/>
    <w:tmpl w:val="1C6CD92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4779210F"/>
    <w:multiLevelType w:val="hybridMultilevel"/>
    <w:tmpl w:val="F92EF0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1B0193"/>
    <w:multiLevelType w:val="hybridMultilevel"/>
    <w:tmpl w:val="007CDCC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50C14BC3"/>
    <w:multiLevelType w:val="multilevel"/>
    <w:tmpl w:val="1B828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1D7AC0"/>
    <w:multiLevelType w:val="hybridMultilevel"/>
    <w:tmpl w:val="EA6236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D321B1"/>
    <w:multiLevelType w:val="hybridMultilevel"/>
    <w:tmpl w:val="7BC26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5A8013C"/>
    <w:multiLevelType w:val="hybridMultilevel"/>
    <w:tmpl w:val="039A7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CA2243F"/>
    <w:multiLevelType w:val="hybridMultilevel"/>
    <w:tmpl w:val="7668FD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8"/>
  </w:num>
  <w:num w:numId="8">
    <w:abstractNumId w:val="5"/>
  </w:num>
  <w:num w:numId="9">
    <w:abstractNumId w:val="11"/>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cumentProtection w:edit="forms" w:enforcement="1" w:cryptProviderType="rsaAES" w:cryptAlgorithmClass="hash" w:cryptAlgorithmType="typeAny" w:cryptAlgorithmSid="14" w:cryptSpinCount="100000" w:hash="FzdoaRIHd2w1n+IgJRpUZnoMEHPFpm4zG4gh+d01hvgRot+6WRbRmTUxn3VLqeTX48HAP8hTuxp5ph3c/xfp0Q==" w:salt="YISczaENejeMk5Fc9dqTO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04B"/>
    <w:rsid w:val="0002361D"/>
    <w:rsid w:val="0003370F"/>
    <w:rsid w:val="00052861"/>
    <w:rsid w:val="00065E96"/>
    <w:rsid w:val="00071F3B"/>
    <w:rsid w:val="000C7ABF"/>
    <w:rsid w:val="0011069D"/>
    <w:rsid w:val="00110FE1"/>
    <w:rsid w:val="00123068"/>
    <w:rsid w:val="00124677"/>
    <w:rsid w:val="00126653"/>
    <w:rsid w:val="001745DC"/>
    <w:rsid w:val="001C58F6"/>
    <w:rsid w:val="001D07E7"/>
    <w:rsid w:val="001E5195"/>
    <w:rsid w:val="001E73A2"/>
    <w:rsid w:val="002163DA"/>
    <w:rsid w:val="00241F4F"/>
    <w:rsid w:val="0025218F"/>
    <w:rsid w:val="00283DAF"/>
    <w:rsid w:val="00297D57"/>
    <w:rsid w:val="002B3B14"/>
    <w:rsid w:val="002C01E9"/>
    <w:rsid w:val="002C281B"/>
    <w:rsid w:val="002F67C4"/>
    <w:rsid w:val="00351006"/>
    <w:rsid w:val="0036121B"/>
    <w:rsid w:val="003634A8"/>
    <w:rsid w:val="00443190"/>
    <w:rsid w:val="00456256"/>
    <w:rsid w:val="00457E75"/>
    <w:rsid w:val="00460E7E"/>
    <w:rsid w:val="00470398"/>
    <w:rsid w:val="00481553"/>
    <w:rsid w:val="00481CD8"/>
    <w:rsid w:val="004B2864"/>
    <w:rsid w:val="004C2052"/>
    <w:rsid w:val="004D189E"/>
    <w:rsid w:val="004D738E"/>
    <w:rsid w:val="004D7D7C"/>
    <w:rsid w:val="004F1D14"/>
    <w:rsid w:val="004F676E"/>
    <w:rsid w:val="004F77C2"/>
    <w:rsid w:val="00502315"/>
    <w:rsid w:val="00513E53"/>
    <w:rsid w:val="00523DC1"/>
    <w:rsid w:val="00524F97"/>
    <w:rsid w:val="00533DB8"/>
    <w:rsid w:val="00551F7E"/>
    <w:rsid w:val="00594672"/>
    <w:rsid w:val="00596690"/>
    <w:rsid w:val="005A324E"/>
    <w:rsid w:val="00607BF4"/>
    <w:rsid w:val="0064444B"/>
    <w:rsid w:val="006448ED"/>
    <w:rsid w:val="00647156"/>
    <w:rsid w:val="00661C3F"/>
    <w:rsid w:val="00673B2D"/>
    <w:rsid w:val="006803D2"/>
    <w:rsid w:val="00691BA8"/>
    <w:rsid w:val="006B04FD"/>
    <w:rsid w:val="006C3F2C"/>
    <w:rsid w:val="006C5C32"/>
    <w:rsid w:val="006C5FC2"/>
    <w:rsid w:val="006D0135"/>
    <w:rsid w:val="006E2D49"/>
    <w:rsid w:val="007162A8"/>
    <w:rsid w:val="007178A1"/>
    <w:rsid w:val="00740CB3"/>
    <w:rsid w:val="007A2707"/>
    <w:rsid w:val="007A672A"/>
    <w:rsid w:val="007B5E15"/>
    <w:rsid w:val="007B7648"/>
    <w:rsid w:val="007F09D1"/>
    <w:rsid w:val="007F4766"/>
    <w:rsid w:val="008062C9"/>
    <w:rsid w:val="00807321"/>
    <w:rsid w:val="00821229"/>
    <w:rsid w:val="00821D58"/>
    <w:rsid w:val="00822EEA"/>
    <w:rsid w:val="00833D51"/>
    <w:rsid w:val="008357C3"/>
    <w:rsid w:val="00842E26"/>
    <w:rsid w:val="0084584C"/>
    <w:rsid w:val="00877139"/>
    <w:rsid w:val="008B4DF8"/>
    <w:rsid w:val="008F0E5D"/>
    <w:rsid w:val="008F1041"/>
    <w:rsid w:val="00902453"/>
    <w:rsid w:val="00944659"/>
    <w:rsid w:val="009606CB"/>
    <w:rsid w:val="00985749"/>
    <w:rsid w:val="00987C1F"/>
    <w:rsid w:val="00993D01"/>
    <w:rsid w:val="009968B2"/>
    <w:rsid w:val="009A3AEF"/>
    <w:rsid w:val="009B26E9"/>
    <w:rsid w:val="009F01E1"/>
    <w:rsid w:val="009F0FC8"/>
    <w:rsid w:val="00A01CA4"/>
    <w:rsid w:val="00A117EE"/>
    <w:rsid w:val="00A16EAF"/>
    <w:rsid w:val="00A22972"/>
    <w:rsid w:val="00A23CF6"/>
    <w:rsid w:val="00A30C0A"/>
    <w:rsid w:val="00A4229D"/>
    <w:rsid w:val="00A8009F"/>
    <w:rsid w:val="00A81859"/>
    <w:rsid w:val="00A83D98"/>
    <w:rsid w:val="00AA21DC"/>
    <w:rsid w:val="00AA63F9"/>
    <w:rsid w:val="00AB467F"/>
    <w:rsid w:val="00AC71D5"/>
    <w:rsid w:val="00AD660E"/>
    <w:rsid w:val="00AE301A"/>
    <w:rsid w:val="00B15CF6"/>
    <w:rsid w:val="00B266ED"/>
    <w:rsid w:val="00B7683D"/>
    <w:rsid w:val="00B81751"/>
    <w:rsid w:val="00B862C4"/>
    <w:rsid w:val="00B912A7"/>
    <w:rsid w:val="00B93DCE"/>
    <w:rsid w:val="00BB0287"/>
    <w:rsid w:val="00BC2AC6"/>
    <w:rsid w:val="00BD5E19"/>
    <w:rsid w:val="00BD5E53"/>
    <w:rsid w:val="00BD6451"/>
    <w:rsid w:val="00BF1090"/>
    <w:rsid w:val="00C12587"/>
    <w:rsid w:val="00C22890"/>
    <w:rsid w:val="00C37500"/>
    <w:rsid w:val="00C81A85"/>
    <w:rsid w:val="00C85068"/>
    <w:rsid w:val="00CA05B7"/>
    <w:rsid w:val="00CD0B96"/>
    <w:rsid w:val="00CD4852"/>
    <w:rsid w:val="00CE7B2F"/>
    <w:rsid w:val="00D064F2"/>
    <w:rsid w:val="00D222EB"/>
    <w:rsid w:val="00DB3A1D"/>
    <w:rsid w:val="00DC1111"/>
    <w:rsid w:val="00DF1F95"/>
    <w:rsid w:val="00DF675C"/>
    <w:rsid w:val="00E03C38"/>
    <w:rsid w:val="00E109F9"/>
    <w:rsid w:val="00E727F4"/>
    <w:rsid w:val="00E77D97"/>
    <w:rsid w:val="00E8504B"/>
    <w:rsid w:val="00EA1B28"/>
    <w:rsid w:val="00EA4249"/>
    <w:rsid w:val="00F04D1E"/>
    <w:rsid w:val="00F07C00"/>
    <w:rsid w:val="00F12135"/>
    <w:rsid w:val="00F23DA7"/>
    <w:rsid w:val="00F465B3"/>
    <w:rsid w:val="00F74F02"/>
    <w:rsid w:val="00F76733"/>
    <w:rsid w:val="00FB5BB6"/>
    <w:rsid w:val="00FB7A1E"/>
    <w:rsid w:val="00FC55A3"/>
    <w:rsid w:val="00FD1A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68F6"/>
  <w15:chartTrackingRefBased/>
  <w15:docId w15:val="{0BBB0172-5E12-1447-A087-88E010D4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66ED"/>
  </w:style>
  <w:style w:type="paragraph" w:styleId="Nadpis1">
    <w:name w:val="heading 1"/>
    <w:basedOn w:val="Normln"/>
    <w:next w:val="Normln"/>
    <w:link w:val="Nadpis1Char"/>
    <w:uiPriority w:val="9"/>
    <w:qFormat/>
    <w:rsid w:val="00B266ED"/>
    <w:pPr>
      <w:spacing w:before="300" w:after="40"/>
      <w:jc w:val="left"/>
      <w:outlineLvl w:val="0"/>
    </w:pPr>
    <w:rPr>
      <w:smallCaps/>
      <w:spacing w:val="5"/>
      <w:sz w:val="32"/>
      <w:szCs w:val="32"/>
    </w:rPr>
  </w:style>
  <w:style w:type="paragraph" w:styleId="Nadpis2">
    <w:name w:val="heading 2"/>
    <w:basedOn w:val="Normln"/>
    <w:next w:val="Normln"/>
    <w:link w:val="Nadpis2Char"/>
    <w:uiPriority w:val="9"/>
    <w:semiHidden/>
    <w:unhideWhenUsed/>
    <w:qFormat/>
    <w:rsid w:val="00B266ED"/>
    <w:pPr>
      <w:spacing w:after="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B266ED"/>
    <w:pPr>
      <w:spacing w:after="0"/>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B266ED"/>
    <w:pPr>
      <w:spacing w:after="0"/>
      <w:jc w:val="left"/>
      <w:outlineLvl w:val="3"/>
    </w:pPr>
    <w:rPr>
      <w:i/>
      <w:iCs/>
      <w:smallCaps/>
      <w:spacing w:val="10"/>
      <w:sz w:val="22"/>
      <w:szCs w:val="22"/>
    </w:rPr>
  </w:style>
  <w:style w:type="paragraph" w:styleId="Nadpis5">
    <w:name w:val="heading 5"/>
    <w:basedOn w:val="Normln"/>
    <w:next w:val="Normln"/>
    <w:link w:val="Nadpis5Char"/>
    <w:uiPriority w:val="9"/>
    <w:semiHidden/>
    <w:unhideWhenUsed/>
    <w:qFormat/>
    <w:rsid w:val="00B266ED"/>
    <w:pPr>
      <w:spacing w:after="0"/>
      <w:jc w:val="left"/>
      <w:outlineLvl w:val="4"/>
    </w:pPr>
    <w:rPr>
      <w:smallCaps/>
      <w:color w:val="538135" w:themeColor="accent6" w:themeShade="BF"/>
      <w:spacing w:val="10"/>
      <w:sz w:val="22"/>
      <w:szCs w:val="22"/>
    </w:rPr>
  </w:style>
  <w:style w:type="paragraph" w:styleId="Nadpis6">
    <w:name w:val="heading 6"/>
    <w:basedOn w:val="Normln"/>
    <w:next w:val="Normln"/>
    <w:link w:val="Nadpis6Char"/>
    <w:uiPriority w:val="9"/>
    <w:semiHidden/>
    <w:unhideWhenUsed/>
    <w:qFormat/>
    <w:rsid w:val="00B266ED"/>
    <w:pPr>
      <w:spacing w:after="0"/>
      <w:jc w:val="left"/>
      <w:outlineLvl w:val="5"/>
    </w:pPr>
    <w:rPr>
      <w:smallCaps/>
      <w:color w:val="70AD47" w:themeColor="accent6"/>
      <w:spacing w:val="5"/>
      <w:sz w:val="22"/>
      <w:szCs w:val="22"/>
    </w:rPr>
  </w:style>
  <w:style w:type="paragraph" w:styleId="Nadpis7">
    <w:name w:val="heading 7"/>
    <w:basedOn w:val="Normln"/>
    <w:next w:val="Normln"/>
    <w:link w:val="Nadpis7Char"/>
    <w:uiPriority w:val="9"/>
    <w:semiHidden/>
    <w:unhideWhenUsed/>
    <w:qFormat/>
    <w:rsid w:val="00B266ED"/>
    <w:pPr>
      <w:spacing w:after="0"/>
      <w:jc w:val="left"/>
      <w:outlineLvl w:val="6"/>
    </w:pPr>
    <w:rPr>
      <w:b/>
      <w:bCs/>
      <w:smallCaps/>
      <w:color w:val="70AD47" w:themeColor="accent6"/>
      <w:spacing w:val="10"/>
    </w:rPr>
  </w:style>
  <w:style w:type="paragraph" w:styleId="Nadpis8">
    <w:name w:val="heading 8"/>
    <w:basedOn w:val="Normln"/>
    <w:next w:val="Normln"/>
    <w:link w:val="Nadpis8Char"/>
    <w:uiPriority w:val="9"/>
    <w:semiHidden/>
    <w:unhideWhenUsed/>
    <w:qFormat/>
    <w:rsid w:val="00B266ED"/>
    <w:pPr>
      <w:spacing w:after="0"/>
      <w:jc w:val="left"/>
      <w:outlineLvl w:val="7"/>
    </w:pPr>
    <w:rPr>
      <w:b/>
      <w:bCs/>
      <w:i/>
      <w:iCs/>
      <w:smallCaps/>
      <w:color w:val="538135" w:themeColor="accent6" w:themeShade="BF"/>
    </w:rPr>
  </w:style>
  <w:style w:type="paragraph" w:styleId="Nadpis9">
    <w:name w:val="heading 9"/>
    <w:basedOn w:val="Normln"/>
    <w:next w:val="Normln"/>
    <w:link w:val="Nadpis9Char"/>
    <w:uiPriority w:val="9"/>
    <w:semiHidden/>
    <w:unhideWhenUsed/>
    <w:qFormat/>
    <w:rsid w:val="00B266ED"/>
    <w:pPr>
      <w:spacing w:after="0"/>
      <w:jc w:val="left"/>
      <w:outlineLvl w:val="8"/>
    </w:pPr>
    <w:rPr>
      <w:b/>
      <w:bCs/>
      <w:i/>
      <w:iCs/>
      <w:smallCaps/>
      <w:color w:val="385623"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E8504B"/>
    <w:pPr>
      <w:spacing w:after="120"/>
    </w:pPr>
    <w:rPr>
      <w:lang w:val="x-none" w:eastAsia="x-none"/>
    </w:rPr>
  </w:style>
  <w:style w:type="character" w:customStyle="1" w:styleId="ZkladntextChar">
    <w:name w:val="Základní text Char"/>
    <w:basedOn w:val="Standardnpsmoodstavce"/>
    <w:link w:val="Zkladntext"/>
    <w:semiHidden/>
    <w:rsid w:val="00E8504B"/>
    <w:rPr>
      <w:rFonts w:ascii="Times New Roman" w:eastAsia="Times New Roman" w:hAnsi="Times New Roman" w:cs="Times New Roman"/>
      <w:lang w:val="x-none" w:eastAsia="x-none"/>
    </w:rPr>
  </w:style>
  <w:style w:type="paragraph" w:styleId="Zpat">
    <w:name w:val="footer"/>
    <w:basedOn w:val="Normln"/>
    <w:link w:val="ZpatChar"/>
    <w:uiPriority w:val="99"/>
    <w:unhideWhenUsed/>
    <w:rsid w:val="00E8504B"/>
    <w:pPr>
      <w:tabs>
        <w:tab w:val="center" w:pos="4536"/>
        <w:tab w:val="right" w:pos="9072"/>
      </w:tabs>
    </w:pPr>
    <w:rPr>
      <w:lang w:val="x-none" w:eastAsia="x-none"/>
    </w:rPr>
  </w:style>
  <w:style w:type="character" w:customStyle="1" w:styleId="ZpatChar">
    <w:name w:val="Zápatí Char"/>
    <w:basedOn w:val="Standardnpsmoodstavce"/>
    <w:link w:val="Zpat"/>
    <w:uiPriority w:val="99"/>
    <w:rsid w:val="00E8504B"/>
    <w:rPr>
      <w:rFonts w:ascii="Times New Roman" w:eastAsia="Times New Roman" w:hAnsi="Times New Roman" w:cs="Times New Roman"/>
      <w:lang w:val="x-none" w:eastAsia="x-none"/>
    </w:rPr>
  </w:style>
  <w:style w:type="character" w:styleId="Odkaznakoment">
    <w:name w:val="annotation reference"/>
    <w:uiPriority w:val="99"/>
    <w:semiHidden/>
    <w:unhideWhenUsed/>
    <w:rsid w:val="00E8504B"/>
    <w:rPr>
      <w:sz w:val="16"/>
      <w:szCs w:val="16"/>
    </w:rPr>
  </w:style>
  <w:style w:type="paragraph" w:styleId="Textkomente">
    <w:name w:val="annotation text"/>
    <w:basedOn w:val="Normln"/>
    <w:link w:val="TextkomenteChar"/>
    <w:uiPriority w:val="99"/>
    <w:semiHidden/>
    <w:unhideWhenUsed/>
    <w:rsid w:val="00E8504B"/>
  </w:style>
  <w:style w:type="character" w:customStyle="1" w:styleId="TextkomenteChar">
    <w:name w:val="Text komentáře Char"/>
    <w:basedOn w:val="Standardnpsmoodstavce"/>
    <w:link w:val="Textkomente"/>
    <w:uiPriority w:val="99"/>
    <w:semiHidden/>
    <w:rsid w:val="00E8504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8504B"/>
    <w:rPr>
      <w:sz w:val="18"/>
      <w:szCs w:val="18"/>
    </w:rPr>
  </w:style>
  <w:style w:type="character" w:customStyle="1" w:styleId="TextbublinyChar">
    <w:name w:val="Text bubliny Char"/>
    <w:basedOn w:val="Standardnpsmoodstavce"/>
    <w:link w:val="Textbubliny"/>
    <w:uiPriority w:val="99"/>
    <w:semiHidden/>
    <w:rsid w:val="00E8504B"/>
    <w:rPr>
      <w:rFonts w:ascii="Times New Roman" w:eastAsia="Times New Roman" w:hAnsi="Times New Roman" w:cs="Times New Roman"/>
      <w:sz w:val="18"/>
      <w:szCs w:val="18"/>
      <w:lang w:eastAsia="cs-CZ"/>
    </w:rPr>
  </w:style>
  <w:style w:type="paragraph" w:styleId="Pedmtkomente">
    <w:name w:val="annotation subject"/>
    <w:basedOn w:val="Textkomente"/>
    <w:next w:val="Textkomente"/>
    <w:link w:val="PedmtkomenteChar"/>
    <w:uiPriority w:val="99"/>
    <w:semiHidden/>
    <w:unhideWhenUsed/>
    <w:rsid w:val="00CD4852"/>
    <w:rPr>
      <w:b/>
      <w:bCs/>
    </w:rPr>
  </w:style>
  <w:style w:type="character" w:customStyle="1" w:styleId="PedmtkomenteChar">
    <w:name w:val="Předmět komentáře Char"/>
    <w:basedOn w:val="TextkomenteChar"/>
    <w:link w:val="Pedmtkomente"/>
    <w:uiPriority w:val="99"/>
    <w:semiHidden/>
    <w:rsid w:val="00CD4852"/>
    <w:rPr>
      <w:rFonts w:ascii="Times New Roman" w:eastAsia="Times New Roman" w:hAnsi="Times New Roman" w:cs="Times New Roman"/>
      <w:b/>
      <w:bCs/>
      <w:sz w:val="20"/>
      <w:szCs w:val="20"/>
      <w:lang w:eastAsia="cs-CZ"/>
    </w:rPr>
  </w:style>
  <w:style w:type="paragraph" w:styleId="Normlnweb">
    <w:name w:val="Normal (Web)"/>
    <w:basedOn w:val="Normln"/>
    <w:uiPriority w:val="99"/>
    <w:unhideWhenUsed/>
    <w:rsid w:val="00CD4852"/>
    <w:pPr>
      <w:spacing w:before="100" w:beforeAutospacing="1" w:after="100" w:afterAutospacing="1"/>
    </w:pPr>
    <w:rPr>
      <w:rFonts w:eastAsiaTheme="minorHAnsi"/>
    </w:rPr>
  </w:style>
  <w:style w:type="character" w:styleId="Zstupntext">
    <w:name w:val="Placeholder Text"/>
    <w:basedOn w:val="Standardnpsmoodstavce"/>
    <w:uiPriority w:val="99"/>
    <w:semiHidden/>
    <w:rsid w:val="00B266ED"/>
    <w:rPr>
      <w:color w:val="808080"/>
    </w:rPr>
  </w:style>
  <w:style w:type="character" w:customStyle="1" w:styleId="Nadpis1Char">
    <w:name w:val="Nadpis 1 Char"/>
    <w:basedOn w:val="Standardnpsmoodstavce"/>
    <w:link w:val="Nadpis1"/>
    <w:uiPriority w:val="9"/>
    <w:rsid w:val="00B266ED"/>
    <w:rPr>
      <w:smallCaps/>
      <w:spacing w:val="5"/>
      <w:sz w:val="32"/>
      <w:szCs w:val="32"/>
    </w:rPr>
  </w:style>
  <w:style w:type="character" w:customStyle="1" w:styleId="Nadpis2Char">
    <w:name w:val="Nadpis 2 Char"/>
    <w:basedOn w:val="Standardnpsmoodstavce"/>
    <w:link w:val="Nadpis2"/>
    <w:uiPriority w:val="9"/>
    <w:semiHidden/>
    <w:rsid w:val="00B266ED"/>
    <w:rPr>
      <w:smallCaps/>
      <w:spacing w:val="5"/>
      <w:sz w:val="28"/>
      <w:szCs w:val="28"/>
    </w:rPr>
  </w:style>
  <w:style w:type="character" w:customStyle="1" w:styleId="Nadpis3Char">
    <w:name w:val="Nadpis 3 Char"/>
    <w:basedOn w:val="Standardnpsmoodstavce"/>
    <w:link w:val="Nadpis3"/>
    <w:uiPriority w:val="9"/>
    <w:semiHidden/>
    <w:rsid w:val="00B266ED"/>
    <w:rPr>
      <w:smallCaps/>
      <w:spacing w:val="5"/>
      <w:sz w:val="24"/>
      <w:szCs w:val="24"/>
    </w:rPr>
  </w:style>
  <w:style w:type="character" w:customStyle="1" w:styleId="Nadpis4Char">
    <w:name w:val="Nadpis 4 Char"/>
    <w:basedOn w:val="Standardnpsmoodstavce"/>
    <w:link w:val="Nadpis4"/>
    <w:uiPriority w:val="9"/>
    <w:semiHidden/>
    <w:rsid w:val="00B266ED"/>
    <w:rPr>
      <w:i/>
      <w:iCs/>
      <w:smallCaps/>
      <w:spacing w:val="10"/>
      <w:sz w:val="22"/>
      <w:szCs w:val="22"/>
    </w:rPr>
  </w:style>
  <w:style w:type="character" w:customStyle="1" w:styleId="Nadpis5Char">
    <w:name w:val="Nadpis 5 Char"/>
    <w:basedOn w:val="Standardnpsmoodstavce"/>
    <w:link w:val="Nadpis5"/>
    <w:uiPriority w:val="9"/>
    <w:semiHidden/>
    <w:rsid w:val="00B266ED"/>
    <w:rPr>
      <w:smallCaps/>
      <w:color w:val="538135" w:themeColor="accent6" w:themeShade="BF"/>
      <w:spacing w:val="10"/>
      <w:sz w:val="22"/>
      <w:szCs w:val="22"/>
    </w:rPr>
  </w:style>
  <w:style w:type="character" w:customStyle="1" w:styleId="Nadpis6Char">
    <w:name w:val="Nadpis 6 Char"/>
    <w:basedOn w:val="Standardnpsmoodstavce"/>
    <w:link w:val="Nadpis6"/>
    <w:uiPriority w:val="9"/>
    <w:semiHidden/>
    <w:rsid w:val="00B266ED"/>
    <w:rPr>
      <w:smallCaps/>
      <w:color w:val="70AD47" w:themeColor="accent6"/>
      <w:spacing w:val="5"/>
      <w:sz w:val="22"/>
      <w:szCs w:val="22"/>
    </w:rPr>
  </w:style>
  <w:style w:type="character" w:customStyle="1" w:styleId="Nadpis7Char">
    <w:name w:val="Nadpis 7 Char"/>
    <w:basedOn w:val="Standardnpsmoodstavce"/>
    <w:link w:val="Nadpis7"/>
    <w:uiPriority w:val="9"/>
    <w:semiHidden/>
    <w:rsid w:val="00B266ED"/>
    <w:rPr>
      <w:b/>
      <w:bCs/>
      <w:smallCaps/>
      <w:color w:val="70AD47" w:themeColor="accent6"/>
      <w:spacing w:val="10"/>
    </w:rPr>
  </w:style>
  <w:style w:type="character" w:customStyle="1" w:styleId="Nadpis8Char">
    <w:name w:val="Nadpis 8 Char"/>
    <w:basedOn w:val="Standardnpsmoodstavce"/>
    <w:link w:val="Nadpis8"/>
    <w:uiPriority w:val="9"/>
    <w:semiHidden/>
    <w:rsid w:val="00B266ED"/>
    <w:rPr>
      <w:b/>
      <w:bCs/>
      <w:i/>
      <w:iCs/>
      <w:smallCaps/>
      <w:color w:val="538135" w:themeColor="accent6" w:themeShade="BF"/>
    </w:rPr>
  </w:style>
  <w:style w:type="character" w:customStyle="1" w:styleId="Nadpis9Char">
    <w:name w:val="Nadpis 9 Char"/>
    <w:basedOn w:val="Standardnpsmoodstavce"/>
    <w:link w:val="Nadpis9"/>
    <w:uiPriority w:val="9"/>
    <w:semiHidden/>
    <w:rsid w:val="00B266ED"/>
    <w:rPr>
      <w:b/>
      <w:bCs/>
      <w:i/>
      <w:iCs/>
      <w:smallCaps/>
      <w:color w:val="385623" w:themeColor="accent6" w:themeShade="80"/>
    </w:rPr>
  </w:style>
  <w:style w:type="paragraph" w:styleId="Titulek">
    <w:name w:val="caption"/>
    <w:basedOn w:val="Normln"/>
    <w:next w:val="Normln"/>
    <w:uiPriority w:val="35"/>
    <w:semiHidden/>
    <w:unhideWhenUsed/>
    <w:qFormat/>
    <w:rsid w:val="00B266ED"/>
    <w:rPr>
      <w:b/>
      <w:bCs/>
      <w:caps/>
      <w:sz w:val="16"/>
      <w:szCs w:val="16"/>
    </w:rPr>
  </w:style>
  <w:style w:type="paragraph" w:styleId="Nzev">
    <w:name w:val="Title"/>
    <w:basedOn w:val="Normln"/>
    <w:next w:val="Normln"/>
    <w:link w:val="NzevChar"/>
    <w:uiPriority w:val="10"/>
    <w:qFormat/>
    <w:rsid w:val="00B266E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zevChar">
    <w:name w:val="Název Char"/>
    <w:basedOn w:val="Standardnpsmoodstavce"/>
    <w:link w:val="Nzev"/>
    <w:uiPriority w:val="10"/>
    <w:rsid w:val="00B266ED"/>
    <w:rPr>
      <w:smallCaps/>
      <w:color w:val="262626" w:themeColor="text1" w:themeTint="D9"/>
      <w:sz w:val="52"/>
      <w:szCs w:val="52"/>
    </w:rPr>
  </w:style>
  <w:style w:type="paragraph" w:styleId="Podnadpis">
    <w:name w:val="Subtitle"/>
    <w:basedOn w:val="Normln"/>
    <w:next w:val="Normln"/>
    <w:link w:val="PodnadpisChar"/>
    <w:uiPriority w:val="11"/>
    <w:qFormat/>
    <w:rsid w:val="00B266ED"/>
    <w:pPr>
      <w:spacing w:after="720" w:line="240" w:lineRule="auto"/>
      <w:jc w:val="right"/>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B266ED"/>
    <w:rPr>
      <w:rFonts w:asciiTheme="majorHAnsi" w:eastAsiaTheme="majorEastAsia" w:hAnsiTheme="majorHAnsi" w:cstheme="majorBidi"/>
    </w:rPr>
  </w:style>
  <w:style w:type="character" w:styleId="Siln">
    <w:name w:val="Strong"/>
    <w:uiPriority w:val="22"/>
    <w:qFormat/>
    <w:rsid w:val="00B266ED"/>
    <w:rPr>
      <w:b/>
      <w:bCs/>
      <w:color w:val="70AD47" w:themeColor="accent6"/>
    </w:rPr>
  </w:style>
  <w:style w:type="character" w:styleId="Zdraznn">
    <w:name w:val="Emphasis"/>
    <w:uiPriority w:val="20"/>
    <w:qFormat/>
    <w:rsid w:val="00B266ED"/>
    <w:rPr>
      <w:b/>
      <w:bCs/>
      <w:i/>
      <w:iCs/>
      <w:spacing w:val="10"/>
    </w:rPr>
  </w:style>
  <w:style w:type="paragraph" w:styleId="Bezmezer">
    <w:name w:val="No Spacing"/>
    <w:uiPriority w:val="1"/>
    <w:qFormat/>
    <w:rsid w:val="00B266ED"/>
    <w:pPr>
      <w:spacing w:after="0" w:line="240" w:lineRule="auto"/>
    </w:pPr>
  </w:style>
  <w:style w:type="paragraph" w:styleId="Citt">
    <w:name w:val="Quote"/>
    <w:basedOn w:val="Normln"/>
    <w:next w:val="Normln"/>
    <w:link w:val="CittChar"/>
    <w:uiPriority w:val="29"/>
    <w:qFormat/>
    <w:rsid w:val="00B266ED"/>
    <w:rPr>
      <w:i/>
      <w:iCs/>
    </w:rPr>
  </w:style>
  <w:style w:type="character" w:customStyle="1" w:styleId="CittChar">
    <w:name w:val="Citát Char"/>
    <w:basedOn w:val="Standardnpsmoodstavce"/>
    <w:link w:val="Citt"/>
    <w:uiPriority w:val="29"/>
    <w:rsid w:val="00B266ED"/>
    <w:rPr>
      <w:i/>
      <w:iCs/>
    </w:rPr>
  </w:style>
  <w:style w:type="paragraph" w:styleId="Vrazncitt">
    <w:name w:val="Intense Quote"/>
    <w:basedOn w:val="Normln"/>
    <w:next w:val="Normln"/>
    <w:link w:val="VrazncittChar"/>
    <w:uiPriority w:val="30"/>
    <w:qFormat/>
    <w:rsid w:val="00B266ED"/>
    <w:pPr>
      <w:pBdr>
        <w:top w:val="single" w:sz="8" w:space="1" w:color="70AD47" w:themeColor="accent6"/>
      </w:pBdr>
      <w:spacing w:before="140" w:after="140"/>
      <w:ind w:left="1440" w:right="1440"/>
    </w:pPr>
    <w:rPr>
      <w:b/>
      <w:bCs/>
      <w:i/>
      <w:iCs/>
    </w:rPr>
  </w:style>
  <w:style w:type="character" w:customStyle="1" w:styleId="VrazncittChar">
    <w:name w:val="Výrazný citát Char"/>
    <w:basedOn w:val="Standardnpsmoodstavce"/>
    <w:link w:val="Vrazncitt"/>
    <w:uiPriority w:val="30"/>
    <w:rsid w:val="00B266ED"/>
    <w:rPr>
      <w:b/>
      <w:bCs/>
      <w:i/>
      <w:iCs/>
    </w:rPr>
  </w:style>
  <w:style w:type="character" w:styleId="Zdraznnjemn">
    <w:name w:val="Subtle Emphasis"/>
    <w:uiPriority w:val="19"/>
    <w:qFormat/>
    <w:rsid w:val="00B266ED"/>
    <w:rPr>
      <w:i/>
      <w:iCs/>
    </w:rPr>
  </w:style>
  <w:style w:type="character" w:styleId="Zdraznnintenzivn">
    <w:name w:val="Intense Emphasis"/>
    <w:uiPriority w:val="21"/>
    <w:qFormat/>
    <w:rsid w:val="00B266ED"/>
    <w:rPr>
      <w:b/>
      <w:bCs/>
      <w:i/>
      <w:iCs/>
      <w:color w:val="70AD47" w:themeColor="accent6"/>
      <w:spacing w:val="10"/>
    </w:rPr>
  </w:style>
  <w:style w:type="character" w:styleId="Odkazjemn">
    <w:name w:val="Subtle Reference"/>
    <w:uiPriority w:val="31"/>
    <w:qFormat/>
    <w:rsid w:val="00B266ED"/>
    <w:rPr>
      <w:b/>
      <w:bCs/>
    </w:rPr>
  </w:style>
  <w:style w:type="character" w:styleId="Odkazintenzivn">
    <w:name w:val="Intense Reference"/>
    <w:uiPriority w:val="32"/>
    <w:qFormat/>
    <w:rsid w:val="00B266ED"/>
    <w:rPr>
      <w:b/>
      <w:bCs/>
      <w:smallCaps/>
      <w:spacing w:val="5"/>
      <w:sz w:val="22"/>
      <w:szCs w:val="22"/>
      <w:u w:val="single"/>
    </w:rPr>
  </w:style>
  <w:style w:type="character" w:styleId="Nzevknihy">
    <w:name w:val="Book Title"/>
    <w:uiPriority w:val="33"/>
    <w:qFormat/>
    <w:rsid w:val="00B266ED"/>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B266ED"/>
    <w:pPr>
      <w:outlineLvl w:val="9"/>
    </w:pPr>
  </w:style>
  <w:style w:type="paragraph" w:styleId="Zkladntext3">
    <w:name w:val="Body Text 3"/>
    <w:basedOn w:val="Normln"/>
    <w:link w:val="Zkladntext3Char"/>
    <w:uiPriority w:val="99"/>
    <w:unhideWhenUsed/>
    <w:rsid w:val="00822EEA"/>
    <w:pPr>
      <w:spacing w:after="120" w:line="240" w:lineRule="auto"/>
      <w:jc w:val="left"/>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822EEA"/>
    <w:rPr>
      <w:rFonts w:ascii="Times New Roman" w:eastAsia="Times New Roman" w:hAnsi="Times New Roman" w:cs="Times New Roman"/>
      <w:sz w:val="16"/>
      <w:szCs w:val="16"/>
      <w:lang w:eastAsia="cs-CZ"/>
    </w:rPr>
  </w:style>
  <w:style w:type="paragraph" w:styleId="Zhlav">
    <w:name w:val="header"/>
    <w:basedOn w:val="Normln"/>
    <w:link w:val="ZhlavChar"/>
    <w:uiPriority w:val="99"/>
    <w:unhideWhenUsed/>
    <w:rsid w:val="00065E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5E96"/>
  </w:style>
  <w:style w:type="paragraph" w:styleId="Odstavecseseznamem">
    <w:name w:val="List Paragraph"/>
    <w:basedOn w:val="Normln"/>
    <w:uiPriority w:val="34"/>
    <w:qFormat/>
    <w:rsid w:val="00AC71D5"/>
    <w:pPr>
      <w:ind w:left="720"/>
      <w:contextualSpacing/>
    </w:pPr>
  </w:style>
  <w:style w:type="paragraph" w:styleId="Prosttext">
    <w:name w:val="Plain Text"/>
    <w:basedOn w:val="Normln"/>
    <w:link w:val="ProsttextChar"/>
    <w:uiPriority w:val="99"/>
    <w:semiHidden/>
    <w:rsid w:val="00AC71D5"/>
    <w:pPr>
      <w:spacing w:after="0" w:line="240" w:lineRule="auto"/>
      <w:jc w:val="left"/>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semiHidden/>
    <w:rsid w:val="00AC71D5"/>
    <w:rPr>
      <w:rFonts w:ascii="Consolas" w:eastAsia="Calibri" w:hAnsi="Consolas" w:cs="Times New Roman"/>
      <w:sz w:val="21"/>
      <w:szCs w:val="21"/>
    </w:rPr>
  </w:style>
  <w:style w:type="character" w:styleId="Hypertextovodkaz">
    <w:name w:val="Hyperlink"/>
    <w:basedOn w:val="Standardnpsmoodstavce"/>
    <w:uiPriority w:val="99"/>
    <w:unhideWhenUsed/>
    <w:rsid w:val="00A117EE"/>
    <w:rPr>
      <w:color w:val="0563C1" w:themeColor="hyperlink"/>
      <w:u w:val="single"/>
    </w:rPr>
  </w:style>
  <w:style w:type="character" w:styleId="Nevyeenzmnka">
    <w:name w:val="Unresolved Mention"/>
    <w:basedOn w:val="Standardnpsmoodstavce"/>
    <w:uiPriority w:val="99"/>
    <w:semiHidden/>
    <w:unhideWhenUsed/>
    <w:rsid w:val="00A1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542268">
      <w:bodyDiv w:val="1"/>
      <w:marLeft w:val="0"/>
      <w:marRight w:val="0"/>
      <w:marTop w:val="0"/>
      <w:marBottom w:val="0"/>
      <w:divBdr>
        <w:top w:val="none" w:sz="0" w:space="0" w:color="auto"/>
        <w:left w:val="none" w:sz="0" w:space="0" w:color="auto"/>
        <w:bottom w:val="none" w:sz="0" w:space="0" w:color="auto"/>
        <w:right w:val="none" w:sz="0" w:space="0" w:color="auto"/>
      </w:divBdr>
    </w:div>
    <w:div w:id="614603131">
      <w:bodyDiv w:val="1"/>
      <w:marLeft w:val="0"/>
      <w:marRight w:val="0"/>
      <w:marTop w:val="0"/>
      <w:marBottom w:val="0"/>
      <w:divBdr>
        <w:top w:val="none" w:sz="0" w:space="0" w:color="auto"/>
        <w:left w:val="none" w:sz="0" w:space="0" w:color="auto"/>
        <w:bottom w:val="none" w:sz="0" w:space="0" w:color="auto"/>
        <w:right w:val="none" w:sz="0" w:space="0" w:color="auto"/>
      </w:divBdr>
    </w:div>
    <w:div w:id="1045523410">
      <w:bodyDiv w:val="1"/>
      <w:marLeft w:val="0"/>
      <w:marRight w:val="0"/>
      <w:marTop w:val="0"/>
      <w:marBottom w:val="0"/>
      <w:divBdr>
        <w:top w:val="none" w:sz="0" w:space="0" w:color="auto"/>
        <w:left w:val="none" w:sz="0" w:space="0" w:color="auto"/>
        <w:bottom w:val="none" w:sz="0" w:space="0" w:color="auto"/>
        <w:right w:val="none" w:sz="0" w:space="0" w:color="auto"/>
      </w:divBdr>
    </w:div>
    <w:div w:id="1202940079">
      <w:bodyDiv w:val="1"/>
      <w:marLeft w:val="0"/>
      <w:marRight w:val="0"/>
      <w:marTop w:val="0"/>
      <w:marBottom w:val="0"/>
      <w:divBdr>
        <w:top w:val="none" w:sz="0" w:space="0" w:color="auto"/>
        <w:left w:val="none" w:sz="0" w:space="0" w:color="auto"/>
        <w:bottom w:val="none" w:sz="0" w:space="0" w:color="auto"/>
        <w:right w:val="none" w:sz="0" w:space="0" w:color="auto"/>
      </w:divBdr>
    </w:div>
    <w:div w:id="1596279946">
      <w:bodyDiv w:val="1"/>
      <w:marLeft w:val="0"/>
      <w:marRight w:val="0"/>
      <w:marTop w:val="0"/>
      <w:marBottom w:val="0"/>
      <w:divBdr>
        <w:top w:val="none" w:sz="0" w:space="0" w:color="auto"/>
        <w:left w:val="none" w:sz="0" w:space="0" w:color="auto"/>
        <w:bottom w:val="none" w:sz="0" w:space="0" w:color="auto"/>
        <w:right w:val="none" w:sz="0" w:space="0" w:color="auto"/>
      </w:divBdr>
    </w:div>
    <w:div w:id="1606423909">
      <w:bodyDiv w:val="1"/>
      <w:marLeft w:val="0"/>
      <w:marRight w:val="0"/>
      <w:marTop w:val="0"/>
      <w:marBottom w:val="0"/>
      <w:divBdr>
        <w:top w:val="none" w:sz="0" w:space="0" w:color="auto"/>
        <w:left w:val="none" w:sz="0" w:space="0" w:color="auto"/>
        <w:bottom w:val="none" w:sz="0" w:space="0" w:color="auto"/>
        <w:right w:val="none" w:sz="0" w:space="0" w:color="auto"/>
      </w:divBdr>
    </w:div>
    <w:div w:id="1637952389">
      <w:bodyDiv w:val="1"/>
      <w:marLeft w:val="0"/>
      <w:marRight w:val="0"/>
      <w:marTop w:val="0"/>
      <w:marBottom w:val="0"/>
      <w:divBdr>
        <w:top w:val="none" w:sz="0" w:space="0" w:color="auto"/>
        <w:left w:val="none" w:sz="0" w:space="0" w:color="auto"/>
        <w:bottom w:val="none" w:sz="0" w:space="0" w:color="auto"/>
        <w:right w:val="none" w:sz="0" w:space="0" w:color="auto"/>
      </w:divBdr>
    </w:div>
    <w:div w:id="17966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urzy.uhk.cz/course/view.php?id=5430" TargetMode="Externa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0FD2-C07F-4EF2-8922-D27FA727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1336</Words>
  <Characters>7884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Zubr Martin</dc:creator>
  <cp:keywords/>
  <dc:description/>
  <cp:lastModifiedBy>Spurný Jan</cp:lastModifiedBy>
  <cp:revision>42</cp:revision>
  <dcterms:created xsi:type="dcterms:W3CDTF">2023-10-11T12:59:00Z</dcterms:created>
  <dcterms:modified xsi:type="dcterms:W3CDTF">2023-10-17T12:26:00Z</dcterms:modified>
</cp:coreProperties>
</file>