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57" w:rsidRPr="00712C60" w:rsidRDefault="00DD0457" w:rsidP="00DD0457">
      <w:pPr>
        <w:jc w:val="center"/>
        <w:rPr>
          <w:rFonts w:ascii="Verdana" w:hAnsi="Verdana" w:cs="Arial"/>
          <w:b/>
          <w:sz w:val="22"/>
        </w:rPr>
      </w:pPr>
      <w:bookmarkStart w:id="0" w:name="_GoBack"/>
      <w:bookmarkEnd w:id="0"/>
      <w:r w:rsidRPr="00712C60">
        <w:rPr>
          <w:rFonts w:ascii="Verdana" w:hAnsi="Verdana" w:cs="Arial"/>
          <w:b/>
          <w:sz w:val="22"/>
        </w:rPr>
        <w:t>Popis požadovaného předmětu plnění</w:t>
      </w:r>
    </w:p>
    <w:p w:rsidR="00DD0457" w:rsidRPr="00712C60" w:rsidRDefault="00DD0457" w:rsidP="00DD0457">
      <w:pPr>
        <w:jc w:val="center"/>
        <w:rPr>
          <w:rFonts w:ascii="Verdana" w:hAnsi="Verdana" w:cs="Arial"/>
          <w:b/>
          <w:sz w:val="22"/>
        </w:rPr>
      </w:pPr>
    </w:p>
    <w:p w:rsidR="00DD0457" w:rsidRPr="00712C60" w:rsidRDefault="00DD0457" w:rsidP="00DD0457">
      <w:pPr>
        <w:jc w:val="both"/>
        <w:rPr>
          <w:rFonts w:ascii="Verdana" w:hAnsi="Verdana" w:cs="Arial"/>
          <w:sz w:val="20"/>
        </w:rPr>
      </w:pPr>
      <w:r w:rsidRPr="00712C60">
        <w:rPr>
          <w:rFonts w:ascii="Verdana" w:hAnsi="Verdana" w:cs="Arial"/>
          <w:sz w:val="20"/>
        </w:rPr>
        <w:t xml:space="preserve">Zadavatel je povinen při specifikaci předmětu veřejné zakázky popsat veškeré požadavky </w:t>
      </w:r>
    </w:p>
    <w:p w:rsidR="00DD0457" w:rsidRPr="00712C60" w:rsidRDefault="00DD0457" w:rsidP="00DD0457">
      <w:pPr>
        <w:jc w:val="both"/>
        <w:rPr>
          <w:rFonts w:ascii="Verdana" w:hAnsi="Verdana" w:cs="Arial"/>
          <w:sz w:val="20"/>
        </w:rPr>
      </w:pPr>
      <w:r w:rsidRPr="00712C60">
        <w:rPr>
          <w:rFonts w:ascii="Verdana" w:hAnsi="Verdana" w:cs="Arial"/>
          <w:b/>
          <w:sz w:val="20"/>
        </w:rPr>
        <w:t>obecným způsobem</w:t>
      </w:r>
      <w:r w:rsidRPr="00712C60">
        <w:rPr>
          <w:rFonts w:ascii="Verdana" w:hAnsi="Verdana" w:cs="Arial"/>
          <w:sz w:val="20"/>
        </w:rPr>
        <w:t xml:space="preserve">. Výjimečně, a to pouze v případě, kdy není popis předmětu veřejné </w:t>
      </w:r>
    </w:p>
    <w:p w:rsidR="00DD0457" w:rsidRPr="00712C60" w:rsidRDefault="00DD0457" w:rsidP="00DD0457">
      <w:pPr>
        <w:jc w:val="both"/>
        <w:rPr>
          <w:rFonts w:ascii="Verdana" w:hAnsi="Verdana" w:cs="Arial"/>
          <w:sz w:val="20"/>
        </w:rPr>
      </w:pPr>
      <w:r w:rsidRPr="00712C60">
        <w:rPr>
          <w:rFonts w:ascii="Verdana" w:hAnsi="Verdana" w:cs="Arial"/>
          <w:sz w:val="20"/>
        </w:rPr>
        <w:t xml:space="preserve">zakázky (technické podmínky) objektivně dostatečně přesný a srozumitelný, může zadavatel </w:t>
      </w:r>
    </w:p>
    <w:p w:rsidR="00DD0457" w:rsidRPr="00712C60" w:rsidRDefault="00DD0457" w:rsidP="00DD0457">
      <w:pPr>
        <w:jc w:val="both"/>
        <w:rPr>
          <w:rFonts w:ascii="Verdana" w:hAnsi="Verdana" w:cs="Arial"/>
          <w:sz w:val="20"/>
        </w:rPr>
      </w:pPr>
      <w:r w:rsidRPr="00712C60">
        <w:rPr>
          <w:rFonts w:ascii="Verdana" w:hAnsi="Verdana" w:cs="Arial"/>
          <w:sz w:val="20"/>
        </w:rPr>
        <w:t xml:space="preserve">v případě veřejné zakázky na stavební práce uvádět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Nesmí to však vést ke zvýhodnění nebo vyloučení určitých dodavatelů nebo určitých výrobků (výrobek s požadovaným označením vyrábí pouze jedna společnost, avšak ostatní vyrábějí srovnatelné výrobky pod jiným označením). Zadavatel však vždy musí připustit použití i jiných, kvalitativně a technicky obdobných řešení tak, aby byla dodržena zásada zákazu diskriminace dodavatelů, a tento svůj závazek musí i uvést do zadávací dokumentace. </w:t>
      </w:r>
    </w:p>
    <w:p w:rsidR="00DD0457" w:rsidRPr="00712C60" w:rsidRDefault="00DD0457" w:rsidP="00DD0457">
      <w:pPr>
        <w:rPr>
          <w:rFonts w:ascii="Verdana" w:hAnsi="Verdana" w:cs="Arial"/>
          <w:sz w:val="20"/>
        </w:rPr>
      </w:pPr>
    </w:p>
    <w:p w:rsidR="00DD0457" w:rsidRPr="00712C60" w:rsidRDefault="00DD0457" w:rsidP="00DD0457">
      <w:pPr>
        <w:rPr>
          <w:rFonts w:ascii="Verdana" w:hAnsi="Verdana" w:cs="Arial"/>
          <w:sz w:val="20"/>
        </w:rPr>
      </w:pPr>
      <w:r w:rsidRPr="00712C60">
        <w:rPr>
          <w:rFonts w:ascii="Verdana" w:hAnsi="Verdana" w:cs="Arial"/>
          <w:sz w:val="20"/>
        </w:rPr>
        <w:t xml:space="preserve">Zadavatel může uvést označení produktu, který již má, s tím, že dodávané plnění s tímto </w:t>
      </w:r>
    </w:p>
    <w:p w:rsidR="00DD0457" w:rsidRPr="00712C60" w:rsidRDefault="00DD0457" w:rsidP="00DD0457">
      <w:pPr>
        <w:rPr>
          <w:rFonts w:ascii="Verdana" w:hAnsi="Verdana" w:cs="Arial"/>
          <w:sz w:val="20"/>
        </w:rPr>
      </w:pPr>
      <w:r w:rsidRPr="00712C60">
        <w:rPr>
          <w:rFonts w:ascii="Verdana" w:hAnsi="Verdana" w:cs="Arial"/>
          <w:sz w:val="20"/>
        </w:rPr>
        <w:t xml:space="preserve">produktem musí být kompatibilní. Př.: předmětem plnění veřejné zakázky je dodávka 89  </w:t>
      </w:r>
    </w:p>
    <w:p w:rsidR="00DD0457" w:rsidRPr="00712C60" w:rsidRDefault="00DD0457" w:rsidP="00DD0457">
      <w:pPr>
        <w:rPr>
          <w:rFonts w:ascii="Verdana" w:hAnsi="Verdana" w:cs="Arial"/>
          <w:sz w:val="20"/>
        </w:rPr>
      </w:pPr>
      <w:r w:rsidRPr="00712C60">
        <w:rPr>
          <w:rFonts w:ascii="Verdana" w:hAnsi="Verdana" w:cs="Arial"/>
          <w:sz w:val="20"/>
        </w:rPr>
        <w:t>náhradních dílů, u kterých zadavatel oprávněně požaduje, aby byly dodány pouze technologicky kompatibilní</w:t>
      </w:r>
      <w:r w:rsidR="002A6452" w:rsidRPr="00712C60">
        <w:rPr>
          <w:rFonts w:ascii="Verdana" w:hAnsi="Verdana" w:cs="Arial"/>
          <w:sz w:val="20"/>
        </w:rPr>
        <w:t xml:space="preserve"> (</w:t>
      </w:r>
      <w:proofErr w:type="spellStart"/>
      <w:r w:rsidR="002A6452" w:rsidRPr="00712C60">
        <w:rPr>
          <w:rFonts w:ascii="Verdana" w:hAnsi="Verdana" w:cs="Arial"/>
          <w:sz w:val="20"/>
        </w:rPr>
        <w:t>dopor</w:t>
      </w:r>
      <w:proofErr w:type="spellEnd"/>
      <w:r w:rsidR="002A6452" w:rsidRPr="00712C60">
        <w:rPr>
          <w:rFonts w:ascii="Verdana" w:hAnsi="Verdana" w:cs="Arial"/>
          <w:sz w:val="20"/>
        </w:rPr>
        <w:t xml:space="preserve">. vypsat v čem </w:t>
      </w:r>
      <w:proofErr w:type="gramStart"/>
      <w:r w:rsidR="002A6452" w:rsidRPr="00712C60">
        <w:rPr>
          <w:rFonts w:ascii="Verdana" w:hAnsi="Verdana" w:cs="Arial"/>
          <w:sz w:val="20"/>
        </w:rPr>
        <w:t xml:space="preserve">konkrétně) </w:t>
      </w:r>
      <w:r w:rsidRPr="00712C60">
        <w:rPr>
          <w:rFonts w:ascii="Verdana" w:hAnsi="Verdana" w:cs="Arial"/>
          <w:sz w:val="20"/>
        </w:rPr>
        <w:t xml:space="preserve"> a od</w:t>
      </w:r>
      <w:proofErr w:type="gramEnd"/>
      <w:r w:rsidRPr="00712C60">
        <w:rPr>
          <w:rFonts w:ascii="Verdana" w:hAnsi="Verdana" w:cs="Arial"/>
          <w:sz w:val="20"/>
        </w:rPr>
        <w:t xml:space="preserve"> autorizovaného dodavatele. </w:t>
      </w:r>
    </w:p>
    <w:p w:rsidR="00DD0457" w:rsidRPr="00712C60" w:rsidRDefault="00DD0457" w:rsidP="00DD0457">
      <w:pPr>
        <w:rPr>
          <w:rFonts w:ascii="Verdana" w:hAnsi="Verdana" w:cs="Arial"/>
          <w:b/>
          <w:sz w:val="20"/>
        </w:rPr>
      </w:pPr>
    </w:p>
    <w:p w:rsidR="00DD0457" w:rsidRPr="00712C60" w:rsidRDefault="00DD0457" w:rsidP="00DD0457">
      <w:pPr>
        <w:rPr>
          <w:rFonts w:ascii="Verdana" w:hAnsi="Verdana" w:cs="Arial"/>
          <w:b/>
          <w:sz w:val="20"/>
        </w:rPr>
      </w:pPr>
      <w:r w:rsidRPr="00712C60">
        <w:rPr>
          <w:rFonts w:ascii="Verdana" w:hAnsi="Verdana" w:cs="Arial"/>
          <w:b/>
          <w:sz w:val="20"/>
        </w:rPr>
        <w:t xml:space="preserve">Klasifikace předmětu veřejné zakázky – CPV kódy </w:t>
      </w:r>
    </w:p>
    <w:p w:rsidR="00DD0457" w:rsidRPr="00712C60" w:rsidRDefault="00DD0457" w:rsidP="00DD0457">
      <w:pPr>
        <w:rPr>
          <w:rFonts w:ascii="Verdana" w:hAnsi="Verdana" w:cs="Arial"/>
          <w:sz w:val="20"/>
        </w:rPr>
      </w:pPr>
      <w:r w:rsidRPr="00712C60">
        <w:rPr>
          <w:rFonts w:ascii="Verdana" w:hAnsi="Verdana" w:cs="Arial"/>
          <w:sz w:val="20"/>
        </w:rPr>
        <w:t xml:space="preserve">Zadavatel je povinen při vymezení předmětu veřejné zakázky v oznámení či výzvě o zahájení zadávacího řízení použít klasifikaci zboží, služeb a stavebních prací podle referenční klasifikace platné pro veřejné zakázky na základě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 </w:t>
      </w:r>
    </w:p>
    <w:p w:rsidR="00DD0457" w:rsidRPr="00712C60" w:rsidRDefault="00DD0457" w:rsidP="00DD0457">
      <w:pPr>
        <w:rPr>
          <w:rFonts w:ascii="Verdana" w:hAnsi="Verdana" w:cs="Arial"/>
          <w:sz w:val="20"/>
        </w:rPr>
      </w:pPr>
      <w:r w:rsidRPr="00712C60">
        <w:rPr>
          <w:rFonts w:ascii="Verdana" w:hAnsi="Verdana" w:cs="Arial"/>
          <w:sz w:val="20"/>
        </w:rPr>
        <w:t xml:space="preserve">předmět lze vymezit i více kódy. Pro snazší vyhledávání lze použít nástroje </w:t>
      </w:r>
      <w:proofErr w:type="gramStart"/>
      <w:r w:rsidRPr="00712C60">
        <w:rPr>
          <w:rFonts w:ascii="Verdana" w:hAnsi="Verdana" w:cs="Arial"/>
          <w:sz w:val="20"/>
        </w:rPr>
        <w:t>na</w:t>
      </w:r>
      <w:proofErr w:type="gramEnd"/>
      <w:r w:rsidRPr="00712C60">
        <w:rPr>
          <w:rFonts w:ascii="Verdana" w:hAnsi="Verdana" w:cs="Arial"/>
          <w:sz w:val="20"/>
        </w:rPr>
        <w:t xml:space="preserve"> </w:t>
      </w:r>
    </w:p>
    <w:p w:rsidR="00DD0457" w:rsidRPr="00712C60" w:rsidRDefault="00DD0457" w:rsidP="00DD0457">
      <w:pPr>
        <w:rPr>
          <w:rFonts w:ascii="Verdana" w:hAnsi="Verdana" w:cs="Arial"/>
          <w:sz w:val="20"/>
        </w:rPr>
      </w:pPr>
      <w:r w:rsidRPr="00712C60">
        <w:rPr>
          <w:rFonts w:ascii="Verdana" w:hAnsi="Verdana" w:cs="Arial"/>
          <w:sz w:val="20"/>
        </w:rPr>
        <w:t>www.isvz.cz/</w:t>
      </w:r>
      <w:proofErr w:type="spellStart"/>
      <w:r w:rsidRPr="00712C60">
        <w:rPr>
          <w:rFonts w:ascii="Verdana" w:hAnsi="Verdana" w:cs="Arial"/>
          <w:sz w:val="20"/>
        </w:rPr>
        <w:t>isvz</w:t>
      </w:r>
      <w:proofErr w:type="spellEnd"/>
      <w:r w:rsidRPr="00712C60">
        <w:rPr>
          <w:rFonts w:ascii="Verdana" w:hAnsi="Verdana" w:cs="Arial"/>
          <w:sz w:val="20"/>
        </w:rPr>
        <w:t xml:space="preserve">/, sekce Klasifikace a číselníky. </w:t>
      </w:r>
    </w:p>
    <w:p w:rsidR="002A6452" w:rsidRPr="00712C60" w:rsidRDefault="002A6452" w:rsidP="00DD0457">
      <w:pPr>
        <w:rPr>
          <w:rFonts w:ascii="Verdana" w:hAnsi="Verdana" w:cs="Arial"/>
          <w:sz w:val="20"/>
        </w:rPr>
      </w:pPr>
    </w:p>
    <w:p w:rsidR="00DD0457" w:rsidRPr="00712C60" w:rsidRDefault="00DD0457" w:rsidP="00DD0457">
      <w:pPr>
        <w:rPr>
          <w:rFonts w:ascii="Verdana" w:hAnsi="Verdana" w:cs="Arial"/>
          <w:b/>
          <w:sz w:val="20"/>
        </w:rPr>
      </w:pPr>
      <w:r w:rsidRPr="00712C60">
        <w:rPr>
          <w:rFonts w:ascii="Verdana" w:hAnsi="Verdana" w:cs="Arial"/>
          <w:b/>
          <w:sz w:val="20"/>
        </w:rPr>
        <w:t xml:space="preserve">Technické podmínky jako součást zadávací dokumentace </w:t>
      </w:r>
    </w:p>
    <w:p w:rsidR="00DD0457" w:rsidRPr="00712C60" w:rsidRDefault="00DD0457" w:rsidP="00DD0457">
      <w:pPr>
        <w:rPr>
          <w:rFonts w:ascii="Verdana" w:hAnsi="Verdana" w:cs="Arial"/>
          <w:sz w:val="20"/>
        </w:rPr>
      </w:pPr>
      <w:r w:rsidRPr="00712C60">
        <w:rPr>
          <w:rFonts w:ascii="Verdana" w:hAnsi="Verdana" w:cs="Arial"/>
          <w:sz w:val="20"/>
        </w:rPr>
        <w:t xml:space="preserve">Jestliže to je odůvodněno předmětem veřejné zakázky, musí zadavatel za účelem specifikace požadovaného plnění v potřebné míře vymezit technické podmínky. </w:t>
      </w:r>
    </w:p>
    <w:p w:rsidR="00DD0457" w:rsidRPr="00712C60" w:rsidRDefault="00DD0457" w:rsidP="00DD0457">
      <w:pPr>
        <w:rPr>
          <w:rFonts w:ascii="Verdana" w:hAnsi="Verdana" w:cs="Arial"/>
          <w:sz w:val="20"/>
        </w:rPr>
      </w:pPr>
      <w:r w:rsidRPr="00712C60">
        <w:rPr>
          <w:rFonts w:ascii="Verdana" w:hAnsi="Verdana" w:cs="Arial"/>
          <w:sz w:val="20"/>
        </w:rPr>
        <w:t xml:space="preserve">V případě veřejných zakázek na dodávky nebo služby se technickými podmínkami rozumí </w:t>
      </w:r>
    </w:p>
    <w:p w:rsidR="00DD0457" w:rsidRPr="00712C60" w:rsidRDefault="00DD0457" w:rsidP="00DD0457">
      <w:pPr>
        <w:rPr>
          <w:rFonts w:ascii="Verdana" w:hAnsi="Verdana" w:cs="Arial"/>
          <w:sz w:val="20"/>
        </w:rPr>
      </w:pPr>
      <w:r w:rsidRPr="00712C60">
        <w:rPr>
          <w:rFonts w:ascii="Verdana" w:hAnsi="Verdana" w:cs="Arial"/>
          <w:sz w:val="20"/>
        </w:rPr>
        <w:t xml:space="preserve">vymezení charakteristik a požadavků na dodávky nebo služby stanovené objektivně </w:t>
      </w:r>
    </w:p>
    <w:p w:rsidR="00DD0457" w:rsidRPr="00712C60" w:rsidRDefault="00DD0457" w:rsidP="00DD0457">
      <w:pPr>
        <w:rPr>
          <w:rFonts w:ascii="Verdana" w:hAnsi="Verdana" w:cs="Arial"/>
          <w:sz w:val="20"/>
        </w:rPr>
      </w:pPr>
      <w:r w:rsidRPr="00712C60">
        <w:rPr>
          <w:rFonts w:ascii="Verdana" w:hAnsi="Verdana" w:cs="Arial"/>
          <w:sz w:val="20"/>
        </w:rPr>
        <w:t xml:space="preserve">a jednoznačně způsobem vyjadřujícím účel využití požadovaného plnění zamýšlený </w:t>
      </w:r>
    </w:p>
    <w:p w:rsidR="00DD0457" w:rsidRPr="00712C60" w:rsidRDefault="00DD0457" w:rsidP="00DD0457">
      <w:pPr>
        <w:rPr>
          <w:rFonts w:ascii="Verdana" w:hAnsi="Verdana" w:cs="Arial"/>
          <w:sz w:val="20"/>
        </w:rPr>
      </w:pPr>
      <w:r w:rsidRPr="00712C60">
        <w:rPr>
          <w:rFonts w:ascii="Verdana" w:hAnsi="Verdana" w:cs="Arial"/>
          <w:sz w:val="20"/>
        </w:rPr>
        <w:t xml:space="preserve">zadavatelem tak, aby byli jednotliví dodavatelé schopni podat na takto vymezené plnění svou </w:t>
      </w:r>
    </w:p>
    <w:p w:rsidR="00DD0457" w:rsidRPr="00712C60" w:rsidRDefault="00DD0457" w:rsidP="00DD0457">
      <w:pPr>
        <w:rPr>
          <w:rFonts w:ascii="Verdana" w:hAnsi="Verdana" w:cs="Arial"/>
          <w:sz w:val="20"/>
        </w:rPr>
      </w:pPr>
      <w:r w:rsidRPr="00712C60">
        <w:rPr>
          <w:rFonts w:ascii="Verdana" w:hAnsi="Verdana" w:cs="Arial"/>
          <w:sz w:val="20"/>
        </w:rPr>
        <w:t xml:space="preserve">nabídku. </w:t>
      </w:r>
    </w:p>
    <w:p w:rsidR="00DD0457" w:rsidRPr="00712C60" w:rsidRDefault="00DD0457" w:rsidP="00DD0457">
      <w:pPr>
        <w:rPr>
          <w:rFonts w:ascii="Verdana" w:hAnsi="Verdana" w:cs="Arial"/>
          <w:sz w:val="20"/>
        </w:rPr>
      </w:pPr>
      <w:r w:rsidRPr="00712C60">
        <w:rPr>
          <w:rFonts w:ascii="Verdana" w:hAnsi="Verdana" w:cs="Arial"/>
          <w:sz w:val="20"/>
        </w:rPr>
        <w:t xml:space="preserve">V případě veřejné zakázky na stavební práce se technickými podmínkami rozumí souhrn všech technických popisů, které vymezují požadované technické charakteristiky a požadavky na stavební práce, a současně dodávky a služby související s těmito stavebními pracemi. Jejich prostřednictvím musí být předmět veřejné zakázky na stavební práce popsán jednoznačně a objektivně způsobem vyjadřujícím účel použití zamýšlený zadavatelem. </w:t>
      </w:r>
    </w:p>
    <w:p w:rsidR="00DD0457" w:rsidRPr="00712C60" w:rsidRDefault="00DD0457" w:rsidP="00DD0457">
      <w:pPr>
        <w:rPr>
          <w:rFonts w:ascii="Verdana" w:hAnsi="Verdana" w:cs="Arial"/>
          <w:sz w:val="20"/>
        </w:rPr>
      </w:pPr>
      <w:r w:rsidRPr="00712C60">
        <w:rPr>
          <w:rFonts w:ascii="Verdana" w:hAnsi="Verdana" w:cs="Arial"/>
          <w:sz w:val="20"/>
        </w:rPr>
        <w:t xml:space="preserve">Technické podmínky nesmí být stanoveny tak, aby určitým dodavatelům zaručovaly </w:t>
      </w:r>
    </w:p>
    <w:p w:rsidR="00DD0457" w:rsidRPr="00712C60" w:rsidRDefault="00DD0457" w:rsidP="00DD0457">
      <w:pPr>
        <w:rPr>
          <w:rFonts w:ascii="Verdana" w:hAnsi="Verdana" w:cs="Arial"/>
          <w:sz w:val="20"/>
        </w:rPr>
      </w:pPr>
      <w:r w:rsidRPr="00712C60">
        <w:rPr>
          <w:rFonts w:ascii="Verdana" w:hAnsi="Verdana" w:cs="Arial"/>
          <w:sz w:val="20"/>
        </w:rPr>
        <w:t xml:space="preserve">konkurenční výhodu nebo vytvářely neodůvodněné překážky hospodářské soutěže (odkazy na konkrétní značky či produkty, není-li to odůvodněno předmětem veřejné zakázky, apod.). </w:t>
      </w:r>
    </w:p>
    <w:p w:rsidR="00DD0457" w:rsidRPr="00712C60" w:rsidRDefault="00DD0457" w:rsidP="00DD0457">
      <w:pPr>
        <w:rPr>
          <w:rFonts w:ascii="Verdana" w:hAnsi="Verdana" w:cs="Arial"/>
          <w:sz w:val="20"/>
        </w:rPr>
      </w:pPr>
      <w:r w:rsidRPr="00712C60">
        <w:rPr>
          <w:rFonts w:ascii="Verdana" w:hAnsi="Verdana" w:cs="Arial"/>
          <w:sz w:val="20"/>
        </w:rPr>
        <w:t>Odůvod</w:t>
      </w:r>
      <w:r w:rsidR="002A6452" w:rsidRPr="00712C60">
        <w:rPr>
          <w:rFonts w:ascii="Verdana" w:hAnsi="Verdana" w:cs="Arial"/>
          <w:sz w:val="20"/>
        </w:rPr>
        <w:t>ň</w:t>
      </w:r>
      <w:r w:rsidRPr="00712C60">
        <w:rPr>
          <w:rFonts w:ascii="Verdana" w:hAnsi="Verdana" w:cs="Arial"/>
          <w:sz w:val="20"/>
        </w:rPr>
        <w:t xml:space="preserve">uje-li to předmět veřejné zakázky, zohlední zadavatel při stanovení technických </w:t>
      </w:r>
    </w:p>
    <w:p w:rsidR="00712C60" w:rsidRPr="00712C60" w:rsidRDefault="00DD0457" w:rsidP="00DD0457">
      <w:pPr>
        <w:rPr>
          <w:rFonts w:ascii="Verdana" w:hAnsi="Verdana" w:cs="Arial"/>
          <w:i/>
          <w:sz w:val="20"/>
        </w:rPr>
      </w:pPr>
      <w:r w:rsidRPr="00712C60">
        <w:rPr>
          <w:rFonts w:ascii="Verdana" w:hAnsi="Verdana" w:cs="Arial"/>
          <w:sz w:val="20"/>
        </w:rPr>
        <w:t xml:space="preserve">podmínek požadavky přístupnosti osob se zdravotním postižením nebo dostupnosti pro všechny uživatele. </w:t>
      </w:r>
      <w:r w:rsidRPr="00712C60">
        <w:rPr>
          <w:rFonts w:ascii="Verdana" w:hAnsi="Verdana" w:cs="Arial"/>
          <w:sz w:val="20"/>
        </w:rPr>
        <w:cr/>
      </w:r>
      <w:r w:rsidR="00712C60" w:rsidRPr="00712C60">
        <w:rPr>
          <w:rFonts w:ascii="Verdana" w:hAnsi="Verdana" w:cs="Arial"/>
          <w:i/>
          <w:sz w:val="20"/>
        </w:rPr>
        <w:t>zdroj: Metodika pro zadávání VZ – MMR ČR, říjen 2013</w:t>
      </w:r>
    </w:p>
    <w:sectPr w:rsidR="00712C60" w:rsidRPr="00712C60" w:rsidSect="00712C6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8C" w:rsidRDefault="0012498C" w:rsidP="00712C60">
      <w:r>
        <w:separator/>
      </w:r>
    </w:p>
  </w:endnote>
  <w:endnote w:type="continuationSeparator" w:id="0">
    <w:p w:rsidR="0012498C" w:rsidRDefault="0012498C" w:rsidP="0071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8C" w:rsidRDefault="0012498C" w:rsidP="00712C60">
      <w:r>
        <w:separator/>
      </w:r>
    </w:p>
  </w:footnote>
  <w:footnote w:type="continuationSeparator" w:id="0">
    <w:p w:rsidR="0012498C" w:rsidRDefault="0012498C" w:rsidP="00712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57"/>
    <w:rsid w:val="000632D3"/>
    <w:rsid w:val="0012498C"/>
    <w:rsid w:val="002A6452"/>
    <w:rsid w:val="00347592"/>
    <w:rsid w:val="00712C60"/>
    <w:rsid w:val="00D36F23"/>
    <w:rsid w:val="00DD0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12C60"/>
    <w:pPr>
      <w:tabs>
        <w:tab w:val="center" w:pos="4536"/>
        <w:tab w:val="right" w:pos="9072"/>
      </w:tabs>
    </w:pPr>
  </w:style>
  <w:style w:type="character" w:customStyle="1" w:styleId="ZhlavChar">
    <w:name w:val="Záhlaví Char"/>
    <w:basedOn w:val="Standardnpsmoodstavce"/>
    <w:link w:val="Zhlav"/>
    <w:rsid w:val="00712C60"/>
    <w:rPr>
      <w:sz w:val="24"/>
      <w:szCs w:val="24"/>
    </w:rPr>
  </w:style>
  <w:style w:type="paragraph" w:styleId="Zpat">
    <w:name w:val="footer"/>
    <w:basedOn w:val="Normln"/>
    <w:link w:val="ZpatChar"/>
    <w:rsid w:val="00712C60"/>
    <w:pPr>
      <w:tabs>
        <w:tab w:val="center" w:pos="4536"/>
        <w:tab w:val="right" w:pos="9072"/>
      </w:tabs>
    </w:pPr>
  </w:style>
  <w:style w:type="character" w:customStyle="1" w:styleId="ZpatChar">
    <w:name w:val="Zápatí Char"/>
    <w:basedOn w:val="Standardnpsmoodstavce"/>
    <w:link w:val="Zpat"/>
    <w:rsid w:val="00712C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12C60"/>
    <w:pPr>
      <w:tabs>
        <w:tab w:val="center" w:pos="4536"/>
        <w:tab w:val="right" w:pos="9072"/>
      </w:tabs>
    </w:pPr>
  </w:style>
  <w:style w:type="character" w:customStyle="1" w:styleId="ZhlavChar">
    <w:name w:val="Záhlaví Char"/>
    <w:basedOn w:val="Standardnpsmoodstavce"/>
    <w:link w:val="Zhlav"/>
    <w:rsid w:val="00712C60"/>
    <w:rPr>
      <w:sz w:val="24"/>
      <w:szCs w:val="24"/>
    </w:rPr>
  </w:style>
  <w:style w:type="paragraph" w:styleId="Zpat">
    <w:name w:val="footer"/>
    <w:basedOn w:val="Normln"/>
    <w:link w:val="ZpatChar"/>
    <w:rsid w:val="00712C60"/>
    <w:pPr>
      <w:tabs>
        <w:tab w:val="center" w:pos="4536"/>
        <w:tab w:val="right" w:pos="9072"/>
      </w:tabs>
    </w:pPr>
  </w:style>
  <w:style w:type="character" w:customStyle="1" w:styleId="ZpatChar">
    <w:name w:val="Zápatí Char"/>
    <w:basedOn w:val="Standardnpsmoodstavce"/>
    <w:link w:val="Zpat"/>
    <w:rsid w:val="00712C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E9DC1473BE94AA02B931A244A7AC3" ma:contentTypeVersion="1" ma:contentTypeDescription="Vytvoří nový dokument" ma:contentTypeScope="" ma:versionID="7f050ca669b7f9059beae14d8fabca3f">
  <xsd:schema xmlns:xsd="http://www.w3.org/2001/XMLSchema" xmlns:xs="http://www.w3.org/2001/XMLSchema" xmlns:p="http://schemas.microsoft.com/office/2006/metadata/properties" xmlns:ns1="http://schemas.microsoft.com/sharepoint/v3" targetNamespace="http://schemas.microsoft.com/office/2006/metadata/properties" ma:root="true" ma:fieldsID="707ce7dccea0fb89f33b58a1da5c0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FA7E20-AB16-4062-BB84-BA2C8AF3563C}"/>
</file>

<file path=customXml/itemProps2.xml><?xml version="1.0" encoding="utf-8"?>
<ds:datastoreItem xmlns:ds="http://schemas.openxmlformats.org/officeDocument/2006/customXml" ds:itemID="{CD75171D-2F1E-4361-9FC4-B88F97667024}"/>
</file>

<file path=customXml/itemProps3.xml><?xml version="1.0" encoding="utf-8"?>
<ds:datastoreItem xmlns:ds="http://schemas.openxmlformats.org/officeDocument/2006/customXml" ds:itemID="{4139F15E-F49E-4EC5-A685-7507A3BFA9E9}"/>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3083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karlosa1</cp:lastModifiedBy>
  <cp:revision>2</cp:revision>
  <dcterms:created xsi:type="dcterms:W3CDTF">2013-11-26T11:06:00Z</dcterms:created>
  <dcterms:modified xsi:type="dcterms:W3CDTF">2013-11-26T11:06:00Z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0x010100B81E9DC1473BE94AA02B931A244A7AC3</vt:lpwstr>
  </property>
</Properties>
</file>