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DCD2D" w14:textId="2290E250" w:rsidR="001250F8" w:rsidRDefault="00AC1039" w:rsidP="00AC1039">
      <w:pPr>
        <w:pStyle w:val="00titulek"/>
      </w:pPr>
      <w:r w:rsidRPr="00701C62">
        <w:drawing>
          <wp:anchor distT="0" distB="0" distL="114300" distR="114300" simplePos="0" relativeHeight="251659264" behindDoc="1" locked="0" layoutInCell="1" allowOverlap="1" wp14:anchorId="61487AC6" wp14:editId="1271A518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494800" cy="637200"/>
            <wp:effectExtent l="0" t="0" r="0" b="0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C5C">
        <w:t>Souhrnné informace pro účtování</w:t>
      </w:r>
      <w:r w:rsidR="006A6C89">
        <w:t xml:space="preserve"> projektů </w:t>
      </w:r>
      <w:r w:rsidRPr="00A674F8">
        <w:t>Operační program Jan Amos Komenský</w:t>
      </w:r>
    </w:p>
    <w:p w14:paraId="65E5074B" w14:textId="77777777" w:rsidR="001250F8" w:rsidRPr="001250F8" w:rsidRDefault="006A6C89" w:rsidP="00AC1039">
      <w:pPr>
        <w:pStyle w:val="01h1"/>
      </w:pPr>
      <w:r>
        <w:t>Zakázky 41**</w:t>
      </w:r>
    </w:p>
    <w:p w14:paraId="1E55C12F" w14:textId="4995C8FD" w:rsidR="00063179" w:rsidRDefault="008B76F4" w:rsidP="00AC1039">
      <w:pPr>
        <w:pStyle w:val="02text"/>
      </w:pPr>
      <w:bookmarkStart w:id="0" w:name="_Hlk20631704"/>
      <w:r w:rsidRPr="00AC1039">
        <w:rPr>
          <w:b/>
        </w:rPr>
        <w:t xml:space="preserve">Název </w:t>
      </w:r>
      <w:r w:rsidR="006A6C89" w:rsidRPr="00AC1039">
        <w:rPr>
          <w:b/>
        </w:rPr>
        <w:t>programu</w:t>
      </w:r>
      <w:r w:rsidRPr="00AC1039">
        <w:rPr>
          <w:b/>
        </w:rPr>
        <w:t>:</w:t>
      </w:r>
      <w:r w:rsidRPr="008B76F4">
        <w:t xml:space="preserve"> </w:t>
      </w:r>
      <w:r w:rsidR="006A6C89">
        <w:t>Operační program Jan Amos Komenský</w:t>
      </w:r>
      <w:r w:rsidR="00AC1039">
        <w:t xml:space="preserve"> (dále jen </w:t>
      </w:r>
      <w:r w:rsidR="00AC1039" w:rsidRPr="00AC1039">
        <w:rPr>
          <w:i/>
        </w:rPr>
        <w:t>„OP JAK“</w:t>
      </w:r>
      <w:r w:rsidR="00AC1039">
        <w:t>)</w:t>
      </w:r>
    </w:p>
    <w:bookmarkEnd w:id="0"/>
    <w:p w14:paraId="004AB6C7" w14:textId="77777777" w:rsidR="006A6C89" w:rsidRPr="00AC1039" w:rsidRDefault="006A6C89" w:rsidP="00AC1039">
      <w:pPr>
        <w:pStyle w:val="02text"/>
        <w:rPr>
          <w:b/>
        </w:rPr>
      </w:pPr>
      <w:r w:rsidRPr="00AC1039">
        <w:rPr>
          <w:b/>
        </w:rPr>
        <w:t>Nastavení zakázek:</w:t>
      </w:r>
    </w:p>
    <w:p w14:paraId="74F19ECA" w14:textId="4AEDFD80" w:rsidR="006A6C89" w:rsidRDefault="006A6C89" w:rsidP="00F473B0">
      <w:pPr>
        <w:pStyle w:val="04textabc"/>
        <w:ind w:left="426" w:hanging="426"/>
      </w:pPr>
      <w:r>
        <w:t>Každý projekt má svou oddělenou zakázku v</w:t>
      </w:r>
      <w:r w:rsidR="00F473B0">
        <w:t xml:space="preserve"> </w:t>
      </w:r>
      <w:r>
        <w:rPr>
          <w:rFonts w:cs="Comenia Serif"/>
        </w:rPr>
        <w:t>čí</w:t>
      </w:r>
      <w:r>
        <w:t>seln</w:t>
      </w:r>
      <w:r>
        <w:rPr>
          <w:rFonts w:cs="Comenia Serif"/>
        </w:rPr>
        <w:t>é</w:t>
      </w:r>
      <w:r>
        <w:t xml:space="preserve"> </w:t>
      </w:r>
      <w:r w:rsidRPr="00172B4F">
        <w:rPr>
          <w:b/>
        </w:rPr>
        <w:t>řadě 41</w:t>
      </w:r>
      <w:r w:rsidR="005D5B15">
        <w:rPr>
          <w:b/>
        </w:rPr>
        <w:t>XX</w:t>
      </w:r>
      <w:r w:rsidR="00F473B0">
        <w:t>.</w:t>
      </w:r>
    </w:p>
    <w:p w14:paraId="7465AFEE" w14:textId="27230067" w:rsidR="006A6C89" w:rsidRDefault="006A6C89" w:rsidP="00F473B0">
      <w:pPr>
        <w:pStyle w:val="04textabc"/>
        <w:ind w:left="426" w:hanging="426"/>
      </w:pPr>
      <w:r>
        <w:t>Celouniverzitní projekty (zapojení více součástí) je zakázk</w:t>
      </w:r>
      <w:r w:rsidR="005D5B15">
        <w:t>a</w:t>
      </w:r>
      <w:r>
        <w:t xml:space="preserve"> projektu rozdělena pracovišti</w:t>
      </w:r>
      <w:r w:rsidR="00F473B0">
        <w:t>.</w:t>
      </w:r>
    </w:p>
    <w:p w14:paraId="7C1B23BC" w14:textId="04D32E49" w:rsidR="006A6C89" w:rsidRDefault="006A6C89" w:rsidP="00F473B0">
      <w:pPr>
        <w:pStyle w:val="04textabc"/>
        <w:ind w:left="426" w:hanging="426"/>
      </w:pPr>
      <w:r>
        <w:t>Rozpočty projektů OP JAK obsahují tyty základní typy nákladů</w:t>
      </w:r>
      <w:r w:rsidR="00F473B0">
        <w:t>:</w:t>
      </w:r>
    </w:p>
    <w:p w14:paraId="3836E141" w14:textId="77777777" w:rsidR="006A6C89" w:rsidRPr="005641C0" w:rsidRDefault="006A6C89" w:rsidP="005641C0">
      <w:pPr>
        <w:pStyle w:val="05textodrz"/>
        <w:ind w:hanging="294"/>
        <w:rPr>
          <w:b/>
        </w:rPr>
      </w:pPr>
      <w:r w:rsidRPr="005641C0">
        <w:rPr>
          <w:b/>
        </w:rPr>
        <w:t>Přímé náklady</w:t>
      </w:r>
    </w:p>
    <w:p w14:paraId="2C6C3B21" w14:textId="7C8CBE8E" w:rsidR="006A6C89" w:rsidRDefault="00F473B0" w:rsidP="00BA7813">
      <w:pPr>
        <w:pStyle w:val="05textodrz"/>
        <w:numPr>
          <w:ilvl w:val="1"/>
          <w:numId w:val="3"/>
        </w:numPr>
        <w:ind w:left="993" w:hanging="284"/>
        <w:jc w:val="both"/>
      </w:pPr>
      <w:r>
        <w:t>i</w:t>
      </w:r>
      <w:r w:rsidR="006A6C89">
        <w:t>nvestiční</w:t>
      </w:r>
      <w:r>
        <w:t>,</w:t>
      </w:r>
    </w:p>
    <w:p w14:paraId="4F252386" w14:textId="4A66AE00" w:rsidR="006A6C89" w:rsidRDefault="00F473B0" w:rsidP="00BA7813">
      <w:pPr>
        <w:pStyle w:val="05textodrz"/>
        <w:numPr>
          <w:ilvl w:val="1"/>
          <w:numId w:val="3"/>
        </w:numPr>
        <w:ind w:left="993" w:hanging="284"/>
        <w:jc w:val="both"/>
      </w:pPr>
      <w:r>
        <w:t>n</w:t>
      </w:r>
      <w:r w:rsidR="006A6C89">
        <w:t>einvestiční</w:t>
      </w:r>
      <w:r>
        <w:t>,</w:t>
      </w:r>
    </w:p>
    <w:p w14:paraId="5ED0B0E8" w14:textId="349DA925" w:rsidR="00172B4F" w:rsidRDefault="00F473B0" w:rsidP="00BA7813">
      <w:pPr>
        <w:pStyle w:val="05textodrz"/>
        <w:numPr>
          <w:ilvl w:val="1"/>
          <w:numId w:val="3"/>
        </w:numPr>
        <w:ind w:left="993" w:hanging="284"/>
        <w:jc w:val="both"/>
      </w:pPr>
      <w:r>
        <w:t>o</w:t>
      </w:r>
      <w:r w:rsidR="00172B4F">
        <w:t xml:space="preserve">dlišeno </w:t>
      </w:r>
      <w:r w:rsidR="00172B4F" w:rsidRPr="00172B4F">
        <w:rPr>
          <w:b/>
        </w:rPr>
        <w:t>činností 1410</w:t>
      </w:r>
      <w:r>
        <w:t>.</w:t>
      </w:r>
    </w:p>
    <w:p w14:paraId="071F9D56" w14:textId="77777777" w:rsidR="00172B4F" w:rsidRPr="00F473B0" w:rsidRDefault="006A6C89" w:rsidP="005641C0">
      <w:pPr>
        <w:pStyle w:val="05textodrz"/>
        <w:ind w:hanging="294"/>
        <w:rPr>
          <w:b/>
        </w:rPr>
      </w:pPr>
      <w:r w:rsidRPr="00F473B0">
        <w:rPr>
          <w:b/>
        </w:rPr>
        <w:t>Paušální náklady</w:t>
      </w:r>
    </w:p>
    <w:p w14:paraId="62E392AE" w14:textId="1C19D629" w:rsidR="00172B4F" w:rsidRDefault="00F473B0" w:rsidP="00BA7813">
      <w:pPr>
        <w:pStyle w:val="05textodrz"/>
        <w:numPr>
          <w:ilvl w:val="1"/>
          <w:numId w:val="3"/>
        </w:numPr>
        <w:ind w:left="993" w:hanging="284"/>
        <w:jc w:val="both"/>
      </w:pPr>
      <w:r>
        <w:t>v</w:t>
      </w:r>
      <w:r w:rsidR="006A6C89">
        <w:t>ýše</w:t>
      </w:r>
      <w:r w:rsidR="00172B4F">
        <w:t xml:space="preserve"> a výpočet může být odlišný u každé výzvy</w:t>
      </w:r>
      <w:r>
        <w:t>,</w:t>
      </w:r>
    </w:p>
    <w:p w14:paraId="4F7EFE05" w14:textId="66AC8514" w:rsidR="006A6C89" w:rsidRDefault="00F473B0" w:rsidP="00BA7813">
      <w:pPr>
        <w:pStyle w:val="05textodrz"/>
        <w:numPr>
          <w:ilvl w:val="1"/>
          <w:numId w:val="3"/>
        </w:numPr>
        <w:ind w:left="993" w:hanging="284"/>
        <w:jc w:val="both"/>
      </w:pPr>
      <w:r>
        <w:t>o</w:t>
      </w:r>
      <w:r w:rsidR="00172B4F">
        <w:t xml:space="preserve">dlišeno </w:t>
      </w:r>
      <w:r w:rsidR="00172B4F" w:rsidRPr="00172B4F">
        <w:rPr>
          <w:b/>
        </w:rPr>
        <w:t>činností 1650</w:t>
      </w:r>
      <w:r>
        <w:t>.</w:t>
      </w:r>
    </w:p>
    <w:p w14:paraId="55E3D35E" w14:textId="3ABFCD69" w:rsidR="00172B4F" w:rsidRPr="002E5707" w:rsidRDefault="00172B4F" w:rsidP="005641C0">
      <w:pPr>
        <w:pStyle w:val="05textodrz"/>
        <w:ind w:hanging="294"/>
        <w:rPr>
          <w:b/>
        </w:rPr>
      </w:pPr>
      <w:r w:rsidRPr="002E5707">
        <w:rPr>
          <w:b/>
        </w:rPr>
        <w:t xml:space="preserve">Jednorázová částka </w:t>
      </w:r>
      <w:r w:rsidR="00CE7502" w:rsidRPr="002E5707">
        <w:rPr>
          <w:b/>
        </w:rPr>
        <w:t>(zakázka 41</w:t>
      </w:r>
      <w:r w:rsidR="005D5B15" w:rsidRPr="002E5707">
        <w:rPr>
          <w:b/>
        </w:rPr>
        <w:t>YY</w:t>
      </w:r>
      <w:r w:rsidR="00CE7502" w:rsidRPr="002E5707">
        <w:rPr>
          <w:b/>
        </w:rPr>
        <w:t>)</w:t>
      </w:r>
    </w:p>
    <w:p w14:paraId="203096EA" w14:textId="47C1E62A" w:rsidR="00172B4F" w:rsidRPr="00172B4F" w:rsidRDefault="005641C0" w:rsidP="00BA7813">
      <w:pPr>
        <w:pStyle w:val="05textodrz"/>
        <w:numPr>
          <w:ilvl w:val="1"/>
          <w:numId w:val="3"/>
        </w:numPr>
        <w:ind w:left="993" w:hanging="284"/>
        <w:jc w:val="both"/>
        <w:rPr>
          <w:b/>
        </w:rPr>
      </w:pPr>
      <w:r>
        <w:t>s</w:t>
      </w:r>
      <w:r w:rsidR="00172B4F">
        <w:t xml:space="preserve"> ohledem na charakter a určení těchto nákladů, má každý projekt další zakázku pro tyto náklady s</w:t>
      </w:r>
      <w:r w:rsidR="002E5707">
        <w:t xml:space="preserve"> </w:t>
      </w:r>
      <w:r w:rsidR="00172B4F" w:rsidRPr="00172B4F">
        <w:rPr>
          <w:b/>
        </w:rPr>
        <w:t>činností 1410, tj. přímé náklady</w:t>
      </w:r>
      <w:r>
        <w:t>,</w:t>
      </w:r>
    </w:p>
    <w:p w14:paraId="031A59B7" w14:textId="6F071BD8" w:rsidR="00172B4F" w:rsidRDefault="005641C0" w:rsidP="00BA7813">
      <w:pPr>
        <w:pStyle w:val="05textodrz"/>
        <w:numPr>
          <w:ilvl w:val="1"/>
          <w:numId w:val="3"/>
        </w:numPr>
        <w:ind w:left="993" w:hanging="284"/>
        <w:jc w:val="both"/>
      </w:pPr>
      <w:r>
        <w:t>u</w:t>
      </w:r>
      <w:r w:rsidR="00172B4F">
        <w:t>rčena pro realizační – administrativní tým, konkrétně výzvou stanovené pozice – projektový manažer, finanční manažer, administrativa projektu</w:t>
      </w:r>
      <w:r>
        <w:t>.</w:t>
      </w:r>
    </w:p>
    <w:p w14:paraId="24F078A1" w14:textId="5CA0DB1C" w:rsidR="00172B4F" w:rsidRDefault="00172B4F" w:rsidP="005641C0">
      <w:pPr>
        <w:pStyle w:val="04textabc"/>
        <w:ind w:left="426" w:hanging="426"/>
      </w:pPr>
      <w:r>
        <w:t>Míra spolufinancování</w:t>
      </w:r>
      <w:r w:rsidR="005641C0">
        <w:t>:</w:t>
      </w:r>
    </w:p>
    <w:p w14:paraId="38508658" w14:textId="5D55743D" w:rsidR="00172B4F" w:rsidRPr="005641C0" w:rsidRDefault="005641C0" w:rsidP="005641C0">
      <w:pPr>
        <w:pStyle w:val="05textodrz"/>
        <w:ind w:hanging="294"/>
        <w:jc w:val="both"/>
      </w:pPr>
      <w:r>
        <w:t>u</w:t>
      </w:r>
      <w:r w:rsidR="00172B4F" w:rsidRPr="005641C0">
        <w:t xml:space="preserve"> projektů, výzev vyhlášených do 1.</w:t>
      </w:r>
      <w:r>
        <w:t xml:space="preserve"> </w:t>
      </w:r>
      <w:r w:rsidR="00172B4F" w:rsidRPr="005641C0">
        <w:t>9.</w:t>
      </w:r>
      <w:r>
        <w:t xml:space="preserve"> </w:t>
      </w:r>
      <w:r w:rsidR="00172B4F" w:rsidRPr="005641C0">
        <w:t>2023 byla míra spolufinancování 5</w:t>
      </w:r>
      <w:r>
        <w:rPr>
          <w:rFonts w:ascii="Calibri" w:hAnsi="Calibri" w:cs="Calibri"/>
        </w:rPr>
        <w:t> </w:t>
      </w:r>
      <w:r w:rsidR="00172B4F" w:rsidRPr="005641C0">
        <w:t>%</w:t>
      </w:r>
      <w:r>
        <w:t>,</w:t>
      </w:r>
    </w:p>
    <w:p w14:paraId="043E9DE3" w14:textId="3ACCC4A6" w:rsidR="00172B4F" w:rsidRPr="005641C0" w:rsidRDefault="005641C0" w:rsidP="005641C0">
      <w:pPr>
        <w:pStyle w:val="05textodrz"/>
        <w:ind w:hanging="294"/>
        <w:jc w:val="both"/>
      </w:pPr>
      <w:r>
        <w:t>u</w:t>
      </w:r>
      <w:r w:rsidR="00172B4F" w:rsidRPr="005641C0">
        <w:t xml:space="preserve"> výzev vyhlášených od 1.</w:t>
      </w:r>
      <w:r>
        <w:t xml:space="preserve"> </w:t>
      </w:r>
      <w:r w:rsidR="00172B4F" w:rsidRPr="005641C0">
        <w:t>9.</w:t>
      </w:r>
      <w:r>
        <w:t xml:space="preserve"> </w:t>
      </w:r>
      <w:r w:rsidR="00172B4F" w:rsidRPr="005641C0">
        <w:t>2023 je míra spolufinancování 10</w:t>
      </w:r>
      <w:r>
        <w:t xml:space="preserve"> </w:t>
      </w:r>
      <w:r w:rsidR="00172B4F" w:rsidRPr="005641C0">
        <w:t>%</w:t>
      </w:r>
      <w:r>
        <w:t>.</w:t>
      </w:r>
    </w:p>
    <w:p w14:paraId="1C0C933C" w14:textId="143DD1B3" w:rsidR="002B1CDC" w:rsidRPr="005D5B15" w:rsidRDefault="002B1CDC" w:rsidP="005641C0">
      <w:pPr>
        <w:pStyle w:val="04textabc"/>
        <w:ind w:left="426" w:hanging="426"/>
      </w:pPr>
      <w:r w:rsidRPr="00172B4F">
        <w:t xml:space="preserve">Sazba režijních nákladů </w:t>
      </w:r>
      <w:r w:rsidR="005D5B15">
        <w:t xml:space="preserve">se řídí </w:t>
      </w:r>
      <w:r w:rsidRPr="00172B4F">
        <w:t xml:space="preserve">dle </w:t>
      </w:r>
      <w:r w:rsidR="005D5B15">
        <w:t>Rektorského výnosu č. 05/2020, případně dle aktuálního Příkazu rektora o stanovení výjimky.</w:t>
      </w:r>
    </w:p>
    <w:p w14:paraId="29792490" w14:textId="42321987" w:rsidR="005641C0" w:rsidRDefault="001245D5" w:rsidP="005641C0">
      <w:pPr>
        <w:pStyle w:val="05textodrz"/>
        <w:ind w:hanging="294"/>
        <w:jc w:val="both"/>
        <w:rPr>
          <w:spacing w:val="-4"/>
        </w:rPr>
      </w:pPr>
      <w:r w:rsidRPr="005641C0">
        <w:rPr>
          <w:spacing w:val="-4"/>
        </w:rPr>
        <w:t>Procesně bude účtováno na základně podkladů, které předá finanční manažer účtárně po schválení dílčích žádostí o platbu</w:t>
      </w:r>
      <w:r w:rsidR="005641C0" w:rsidRPr="005641C0">
        <w:rPr>
          <w:spacing w:val="-4"/>
        </w:rPr>
        <w:t>.</w:t>
      </w:r>
    </w:p>
    <w:p w14:paraId="170A296F" w14:textId="77777777" w:rsidR="005641C0" w:rsidRDefault="005641C0" w:rsidP="005641C0">
      <w:pPr>
        <w:pStyle w:val="02text"/>
      </w:pPr>
      <w:r>
        <w:br w:type="page"/>
      </w:r>
    </w:p>
    <w:p w14:paraId="277C71E5" w14:textId="5885316A" w:rsidR="001245D5" w:rsidRDefault="001245D5" w:rsidP="005641C0">
      <w:pPr>
        <w:pStyle w:val="04textabc"/>
        <w:ind w:left="426" w:hanging="426"/>
      </w:pPr>
      <w:r>
        <w:lastRenderedPageBreak/>
        <w:t>Vyúčtování</w:t>
      </w:r>
      <w:r w:rsidR="005641C0">
        <w:t>:</w:t>
      </w:r>
    </w:p>
    <w:p w14:paraId="6C2A1FE7" w14:textId="65ED06F4" w:rsidR="001245D5" w:rsidRPr="005641C0" w:rsidRDefault="005641C0" w:rsidP="005641C0">
      <w:pPr>
        <w:pStyle w:val="05textodrz"/>
        <w:ind w:hanging="294"/>
        <w:jc w:val="both"/>
      </w:pPr>
      <w:r>
        <w:t>o</w:t>
      </w:r>
      <w:r w:rsidR="001245D5" w:rsidRPr="005641C0">
        <w:t>becně 6 měsíční období, u velkých projektů 3 měsíční</w:t>
      </w:r>
      <w:r>
        <w:t>,</w:t>
      </w:r>
    </w:p>
    <w:p w14:paraId="2716C639" w14:textId="19A67F67" w:rsidR="001245D5" w:rsidRPr="005641C0" w:rsidRDefault="005641C0" w:rsidP="005641C0">
      <w:pPr>
        <w:pStyle w:val="05textodrz"/>
        <w:ind w:hanging="294"/>
        <w:jc w:val="both"/>
      </w:pPr>
      <w:r>
        <w:t>p</w:t>
      </w:r>
      <w:r w:rsidR="001245D5" w:rsidRPr="005641C0">
        <w:t>o schválení každé dílčí žádosti o platbu, bude vypracován podklad pro účtárnu s</w:t>
      </w:r>
      <w:r w:rsidRPr="005641C0">
        <w:t xml:space="preserve"> </w:t>
      </w:r>
      <w:r w:rsidR="001245D5" w:rsidRPr="005641C0">
        <w:t>informacemi o nákladech</w:t>
      </w:r>
      <w:r w:rsidR="00A77016" w:rsidRPr="005641C0">
        <w:t xml:space="preserve"> zakázky/pracoviště/činnosti</w:t>
      </w:r>
      <w:r w:rsidR="001245D5" w:rsidRPr="005641C0">
        <w:t xml:space="preserve">, dotaci, spolufinancování, </w:t>
      </w:r>
      <w:r w:rsidR="00A77016" w:rsidRPr="005641C0">
        <w:t>r</w:t>
      </w:r>
      <w:r w:rsidR="001245D5" w:rsidRPr="005641C0">
        <w:t>ežijních/paušálních/jednorázových/přímých nákladů</w:t>
      </w:r>
      <w:r w:rsidR="00CE7502" w:rsidRPr="005641C0">
        <w:t>, včetně doložené výsledovky z</w:t>
      </w:r>
      <w:r w:rsidRPr="005641C0">
        <w:t xml:space="preserve"> </w:t>
      </w:r>
      <w:r w:rsidR="00CE7502" w:rsidRPr="005641C0">
        <w:t xml:space="preserve">EIS </w:t>
      </w:r>
      <w:proofErr w:type="spellStart"/>
      <w:r w:rsidR="00CE7502" w:rsidRPr="005641C0">
        <w:t>Magion</w:t>
      </w:r>
      <w:proofErr w:type="spellEnd"/>
      <w:r w:rsidR="00CE7502" w:rsidRPr="005641C0">
        <w:t xml:space="preserve"> konkrétní zakázky</w:t>
      </w:r>
      <w:r w:rsidR="00BA03D4" w:rsidRPr="005641C0">
        <w:t xml:space="preserve"> (viz. Pokyn k</w:t>
      </w:r>
      <w:r>
        <w:rPr>
          <w:rFonts w:ascii="Calibri" w:hAnsi="Calibri" w:cs="Calibri"/>
        </w:rPr>
        <w:t> </w:t>
      </w:r>
      <w:r w:rsidR="00BA03D4" w:rsidRPr="005641C0">
        <w:t>účtování projekt</w:t>
      </w:r>
      <w:r w:rsidR="00DE018F" w:rsidRPr="005641C0">
        <w:t>ů</w:t>
      </w:r>
      <w:r w:rsidR="00BA03D4" w:rsidRPr="005641C0">
        <w:t xml:space="preserve"> OP JAK)</w:t>
      </w:r>
      <w:r>
        <w:t>.</w:t>
      </w:r>
      <w:bookmarkStart w:id="1" w:name="_GoBack"/>
      <w:bookmarkEnd w:id="1"/>
    </w:p>
    <w:sectPr w:rsidR="001245D5" w:rsidRPr="005641C0" w:rsidSect="00AC1039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4F9E0" w14:textId="77777777" w:rsidR="00BA7813" w:rsidRDefault="00BA7813" w:rsidP="001250F8">
      <w:r>
        <w:separator/>
      </w:r>
    </w:p>
  </w:endnote>
  <w:endnote w:type="continuationSeparator" w:id="0">
    <w:p w14:paraId="29AFF346" w14:textId="77777777" w:rsidR="00BA7813" w:rsidRDefault="00BA7813" w:rsidP="0012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874030746"/>
      <w:docPartObj>
        <w:docPartGallery w:val="Page Numbers (Bottom of Page)"/>
        <w:docPartUnique/>
      </w:docPartObj>
    </w:sdtPr>
    <w:sdtContent>
      <w:p w14:paraId="07A9AA41" w14:textId="6F49D983" w:rsidR="00B16EF9" w:rsidRPr="00AC1039" w:rsidRDefault="00AC1039" w:rsidP="00AC1039">
        <w:pPr>
          <w:pStyle w:val="02text"/>
          <w:jc w:val="center"/>
          <w:rPr>
            <w:sz w:val="20"/>
          </w:rPr>
        </w:pPr>
        <w:r w:rsidRPr="008A230E">
          <w:rPr>
            <w:sz w:val="20"/>
          </w:rPr>
          <w:fldChar w:fldCharType="begin"/>
        </w:r>
        <w:r w:rsidRPr="008A230E">
          <w:rPr>
            <w:sz w:val="20"/>
          </w:rPr>
          <w:instrText>PAGE   \* MERGEFORMAT</w:instrText>
        </w:r>
        <w:r w:rsidRPr="008A230E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8A230E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08503" w14:textId="77777777" w:rsidR="00BA7813" w:rsidRDefault="00BA7813" w:rsidP="001250F8">
      <w:r>
        <w:separator/>
      </w:r>
    </w:p>
  </w:footnote>
  <w:footnote w:type="continuationSeparator" w:id="0">
    <w:p w14:paraId="5A32B2A7" w14:textId="77777777" w:rsidR="00BA7813" w:rsidRDefault="00BA7813" w:rsidP="0012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6AD33" w14:textId="77777777" w:rsidR="00B55EF2" w:rsidRPr="00AC1039" w:rsidRDefault="00BA7813" w:rsidP="00AC1039">
    <w:pPr>
      <w:pStyle w:val="02text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C3BC2"/>
    <w:multiLevelType w:val="hybridMultilevel"/>
    <w:tmpl w:val="D514180C"/>
    <w:lvl w:ilvl="0" w:tplc="EDE4C94C">
      <w:start w:val="1"/>
      <w:numFmt w:val="decimal"/>
      <w:pStyle w:val="03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F8"/>
    <w:rsid w:val="00063179"/>
    <w:rsid w:val="001245D5"/>
    <w:rsid w:val="001250F8"/>
    <w:rsid w:val="00172B4F"/>
    <w:rsid w:val="001B4949"/>
    <w:rsid w:val="001D1C89"/>
    <w:rsid w:val="001D6BCC"/>
    <w:rsid w:val="002B1CDC"/>
    <w:rsid w:val="002D1FB8"/>
    <w:rsid w:val="002E5707"/>
    <w:rsid w:val="0030793B"/>
    <w:rsid w:val="00443E58"/>
    <w:rsid w:val="00485262"/>
    <w:rsid w:val="005641C0"/>
    <w:rsid w:val="005A1F37"/>
    <w:rsid w:val="005D5B15"/>
    <w:rsid w:val="00640F19"/>
    <w:rsid w:val="00697B77"/>
    <w:rsid w:val="006A6C89"/>
    <w:rsid w:val="006D6B6F"/>
    <w:rsid w:val="00887C5C"/>
    <w:rsid w:val="008B76F4"/>
    <w:rsid w:val="008C5517"/>
    <w:rsid w:val="008D653A"/>
    <w:rsid w:val="00A77016"/>
    <w:rsid w:val="00AC1039"/>
    <w:rsid w:val="00B5713A"/>
    <w:rsid w:val="00B937CD"/>
    <w:rsid w:val="00BA03D4"/>
    <w:rsid w:val="00BA7813"/>
    <w:rsid w:val="00CB7A1F"/>
    <w:rsid w:val="00CE7502"/>
    <w:rsid w:val="00D1613C"/>
    <w:rsid w:val="00DE018F"/>
    <w:rsid w:val="00F473B0"/>
    <w:rsid w:val="00F5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C438"/>
  <w15:chartTrackingRefBased/>
  <w15:docId w15:val="{23AD2C19-F320-4604-9B70-1D2EFD82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2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rsid w:val="001250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5">
    <w:name w:val="heading 5"/>
    <w:basedOn w:val="Normln"/>
    <w:next w:val="Normln"/>
    <w:link w:val="Nadpis5Char"/>
    <w:rsid w:val="001250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1250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50F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rsid w:val="001250F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250F8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00titulek">
    <w:name w:val="00_titulek"/>
    <w:next w:val="Normln"/>
    <w:qFormat/>
    <w:rsid w:val="00AC1039"/>
    <w:pPr>
      <w:suppressAutoHyphens/>
      <w:spacing w:before="480" w:after="240" w:line="240" w:lineRule="auto"/>
      <w:jc w:val="center"/>
    </w:pPr>
    <w:rPr>
      <w:rFonts w:ascii="Comenia Sans" w:eastAsia="Times New Roman" w:hAnsi="Comenia Sans" w:cs="Times New Roman"/>
      <w:b/>
      <w:noProof/>
      <w:sz w:val="44"/>
      <w:szCs w:val="32"/>
      <w:lang w:eastAsia="cs-CZ"/>
    </w:rPr>
  </w:style>
  <w:style w:type="paragraph" w:customStyle="1" w:styleId="01h1">
    <w:name w:val="01_h1"/>
    <w:next w:val="Normln"/>
    <w:qFormat/>
    <w:rsid w:val="00AC1039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sz w:val="28"/>
      <w:szCs w:val="28"/>
      <w:lang w:eastAsia="cs-CZ"/>
    </w:rPr>
  </w:style>
  <w:style w:type="paragraph" w:customStyle="1" w:styleId="02text">
    <w:name w:val="02_text"/>
    <w:link w:val="02textChar"/>
    <w:qFormat/>
    <w:rsid w:val="00AC1039"/>
    <w:pPr>
      <w:suppressAutoHyphens/>
      <w:spacing w:after="120" w:line="240" w:lineRule="auto"/>
      <w:jc w:val="both"/>
    </w:pPr>
    <w:rPr>
      <w:rFonts w:ascii="Comenia Serif" w:hAnsi="Comenia Serif" w:cs="Times New Roman"/>
      <w:sz w:val="24"/>
      <w:szCs w:val="20"/>
    </w:rPr>
  </w:style>
  <w:style w:type="paragraph" w:customStyle="1" w:styleId="03textcislo">
    <w:name w:val="03_text_cislo"/>
    <w:basedOn w:val="02text"/>
    <w:qFormat/>
    <w:rsid w:val="00AC1039"/>
    <w:pPr>
      <w:numPr>
        <w:numId w:val="1"/>
      </w:numPr>
    </w:pPr>
  </w:style>
  <w:style w:type="paragraph" w:customStyle="1" w:styleId="04textabc">
    <w:name w:val="04_text_abc"/>
    <w:basedOn w:val="02text"/>
    <w:qFormat/>
    <w:rsid w:val="00AC1039"/>
    <w:pPr>
      <w:numPr>
        <w:numId w:val="2"/>
      </w:numPr>
    </w:pPr>
  </w:style>
  <w:style w:type="paragraph" w:customStyle="1" w:styleId="05textodrz">
    <w:name w:val="05_text_odrz"/>
    <w:basedOn w:val="02text"/>
    <w:qFormat/>
    <w:rsid w:val="00AC1039"/>
    <w:pPr>
      <w:numPr>
        <w:numId w:val="3"/>
      </w:numPr>
      <w:jc w:val="left"/>
    </w:pPr>
  </w:style>
  <w:style w:type="paragraph" w:customStyle="1" w:styleId="06pozn">
    <w:name w:val="06_pozn"/>
    <w:basedOn w:val="02text"/>
    <w:qFormat/>
    <w:rsid w:val="00AC1039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AC1039"/>
    <w:pPr>
      <w:suppressAutoHyphens/>
      <w:spacing w:after="160"/>
      <w:jc w:val="right"/>
    </w:pPr>
    <w:rPr>
      <w:rFonts w:ascii="Comenia Sans" w:eastAsiaTheme="minorHAnsi" w:hAnsi="Comenia Sans"/>
      <w:b/>
      <w:sz w:val="22"/>
      <w:szCs w:val="20"/>
      <w:lang w:eastAsia="en-US"/>
    </w:rPr>
  </w:style>
  <w:style w:type="paragraph" w:styleId="Zhlav">
    <w:name w:val="header"/>
    <w:basedOn w:val="Normln"/>
    <w:link w:val="ZhlavChar"/>
    <w:unhideWhenUsed/>
    <w:rsid w:val="00AC1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10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10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03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02textChar">
    <w:name w:val="02_text Char"/>
    <w:basedOn w:val="Standardnpsmoodstavce"/>
    <w:link w:val="02text"/>
    <w:rsid w:val="00AC1039"/>
    <w:rPr>
      <w:rFonts w:ascii="Comenia Serif" w:hAnsi="Comenia Serif" w:cs="Times New Roman"/>
      <w:sz w:val="24"/>
      <w:szCs w:val="20"/>
    </w:rPr>
  </w:style>
  <w:style w:type="paragraph" w:customStyle="1" w:styleId="a">
    <w:qFormat/>
    <w:rsid w:val="0012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Sedláček Martin 1</dc:creator>
  <cp:keywords/>
  <dc:description/>
  <cp:lastModifiedBy>Spurný Jan</cp:lastModifiedBy>
  <cp:revision>19</cp:revision>
  <cp:lastPrinted>2019-12-13T14:05:00Z</cp:lastPrinted>
  <dcterms:created xsi:type="dcterms:W3CDTF">2019-06-12T13:57:00Z</dcterms:created>
  <dcterms:modified xsi:type="dcterms:W3CDTF">2025-01-28T14:53:00Z</dcterms:modified>
</cp:coreProperties>
</file>