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24DE2153" w:rsidR="00174EC9" w:rsidRPr="0008079D" w:rsidRDefault="00174EC9">
            <w:r w:rsidRPr="0008079D">
              <w:t xml:space="preserve">doktorský </w:t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0A3EC37C" w:rsidR="00174EC9" w:rsidRPr="0008079D" w:rsidRDefault="0008079D">
            <w:r w:rsidRPr="0008079D">
              <w:t>x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commentRangeStart w:id="0"/>
            <w:r>
              <w:t xml:space="preserve">prezenční – kombinovaná – distanční </w:t>
            </w:r>
            <w:commentRangeEnd w:id="0"/>
            <w:r w:rsidR="001F3DAE">
              <w:rPr>
                <w:rStyle w:val="Odkaznakoment"/>
              </w:rPr>
              <w:commentReference w:id="0"/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Jazyk </w:t>
            </w:r>
            <w:commentRangeStart w:id="1"/>
            <w:r>
              <w:rPr>
                <w:b/>
              </w:rPr>
              <w:t>studia</w:t>
            </w:r>
            <w:commentRangeEnd w:id="1"/>
            <w:r w:rsidR="00E9676A">
              <w:rPr>
                <w:rStyle w:val="Odkaznakoment"/>
              </w:rPr>
              <w:commentReference w:id="1"/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Uznávací </w:t>
            </w:r>
            <w:commentRangeStart w:id="2"/>
            <w:r>
              <w:rPr>
                <w:b/>
              </w:rPr>
              <w:t>orgán</w:t>
            </w:r>
            <w:commentRangeEnd w:id="2"/>
            <w:r w:rsidR="00E9676A">
              <w:rPr>
                <w:rStyle w:val="Odkaznakoment"/>
              </w:rPr>
              <w:commentReference w:id="2"/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 xml:space="preserve">Oblast(i) vzdělávání a u kombinovaného studijního programu podíl jednotlivých oblastí vzdělávání </w:t>
            </w:r>
            <w:commentRangeStart w:id="3"/>
            <w:r>
              <w:rPr>
                <w:b/>
              </w:rPr>
              <w:t>v</w:t>
            </w:r>
            <w:commentRangeEnd w:id="3"/>
            <w:r w:rsidR="00BA3A8B">
              <w:rPr>
                <w:rStyle w:val="Odkaznakoment"/>
              </w:rPr>
              <w:commentReference w:id="3"/>
            </w:r>
            <w:r>
              <w:rPr>
                <w:b/>
              </w:rPr>
              <w:t xml:space="preserve">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1C782245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Uvede se oblast vzdělávání, do které má být navrhovaný studijní program zařazen.</w:t>
            </w:r>
          </w:p>
          <w:p w14:paraId="47C764D7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477479A7" w14:textId="7CF02AD5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Kombinovaný studijní program: pokud povinné části státní závěrečné zkoušky ověřují profilující znalosti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dovednosti ze základních tematických okruhů náležejících do více oblastí vzdělávání. Ověřování znalostí nebo dovedností z tematických okruhů, které mají pro studijní program pouze podpůrný charakter, není samo o sobě důvodem k označení takového studijního programu jako kombinovaného.</w:t>
            </w:r>
          </w:p>
          <w:p w14:paraId="5A6BC492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73610B20" w14:textId="77777777" w:rsidR="00E9676A" w:rsidRPr="00617BD8" w:rsidRDefault="00E9676A" w:rsidP="00E9676A">
            <w:pPr>
              <w:pStyle w:val="Textpoznpodarou"/>
              <w:jc w:val="both"/>
            </w:pPr>
            <w:r w:rsidRPr="00617BD8">
              <w:rPr>
                <w:highlight w:val="yellow"/>
              </w:rPr>
              <w:t>Určení procentně vyjádřeného podílu u kombinovaného SP: do úvahy se bere zejména kreditový rozsah předmětů profilujícího základu přináležejících k daným základním tematickým okruhům náležejících do jednotlivých oblastí vzdělávání na výuce. Podíl se zaokrouhluje na 5 %.</w:t>
            </w:r>
          </w:p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159BD3DB" w:rsidR="00174EC9" w:rsidRDefault="00BA3A8B">
            <w:r w:rsidRPr="00617BD8">
              <w:rPr>
                <w:highlight w:val="yellow"/>
              </w:rPr>
              <w:t>Stručná charakteristika studijního programu včetně jeho zaměření.</w:t>
            </w:r>
          </w:p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61CB420A" w14:textId="07E71B5C" w:rsidR="00BA3A8B" w:rsidRPr="00617BD8" w:rsidRDefault="00BA3A8B" w:rsidP="00BA3A8B">
            <w:pPr>
              <w:rPr>
                <w:highlight w:val="yellow"/>
              </w:rPr>
            </w:pPr>
            <w:r>
              <w:rPr>
                <w:highlight w:val="yellow"/>
              </w:rPr>
              <w:t>Vymezení očekávaných výsledků učení, tzn. ve struktuře</w:t>
            </w:r>
            <w:r w:rsidRPr="00617BD8">
              <w:rPr>
                <w:highlight w:val="yellow"/>
              </w:rPr>
              <w:t>:</w:t>
            </w:r>
          </w:p>
          <w:p w14:paraId="4DB151C0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znalosti</w:t>
            </w:r>
          </w:p>
          <w:p w14:paraId="269A149C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dovednosti</w:t>
            </w:r>
          </w:p>
          <w:p w14:paraId="001560B2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způsobilosti</w:t>
            </w:r>
          </w:p>
          <w:p w14:paraId="4F2B2CBC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65FF83F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 xml:space="preserve">Je žádoucí vycházet z rámce kvalifikací VŠ vzdělávání ČR – k dispozici zde: </w:t>
            </w:r>
            <w:hyperlink r:id="rId11" w:history="1">
              <w:r w:rsidRPr="0096629E">
                <w:rPr>
                  <w:rStyle w:val="Hypertextovodkaz"/>
                  <w:highlight w:val="yellow"/>
                </w:rPr>
                <w:t>http://www.msmt.cz/vzdelavani/vysoke-skolstvi/ramec-kvalifikaci-vysokoskolskeho-vzdelavani-ceske-republiky</w:t>
              </w:r>
            </w:hyperlink>
            <w:r>
              <w:rPr>
                <w:highlight w:val="yellow"/>
              </w:rPr>
              <w:t xml:space="preserve">. </w:t>
            </w:r>
          </w:p>
          <w:p w14:paraId="6AC36918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65A3A03F" w14:textId="61F529F1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V případě studijních programů se specializacemi mohou některé odborné znalosti, odborné dovednosti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způsobilosti záviset na zvolené specializaci.</w:t>
            </w:r>
          </w:p>
          <w:p w14:paraId="51478B9E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0C41A78" w14:textId="77777777" w:rsidR="00BA3A8B" w:rsidRDefault="00BA3A8B" w:rsidP="00BA3A8B">
            <w:r w:rsidRPr="00617BD8">
              <w:rPr>
                <w:highlight w:val="yellow"/>
              </w:rPr>
              <w:t>V případě studijních programů pro sdružené studium: profil absolventa kromě společné části obsahuje i doplňující informace zohledňující skutečnost, že některé specifické odborné znalosti, odborné nebo obecné způsobilosti jsou odvislé od výběru studijního plánu (maior x minor) a v případě studijního plánu maior i od profilu absolventa přidruženého studijního programu.</w:t>
            </w:r>
          </w:p>
          <w:p w14:paraId="10EF3DA2" w14:textId="0F1F2A40" w:rsidR="00174EC9" w:rsidRDefault="00174EC9"/>
          <w:p w14:paraId="4BA5791F" w14:textId="21F3ABAB" w:rsidR="00174EC9" w:rsidRPr="00EB55A5" w:rsidRDefault="00BA3A8B" w:rsidP="00EB55A5">
            <w:pPr>
              <w:rPr>
                <w:highlight w:val="yellow"/>
              </w:rPr>
            </w:pPr>
            <w:r w:rsidRPr="00BA3A8B">
              <w:rPr>
                <w:highlight w:val="yellow"/>
              </w:rPr>
              <w:lastRenderedPageBreak/>
              <w:t>Jde-li o </w:t>
            </w:r>
            <w:r w:rsidRPr="00EC3694">
              <w:rPr>
                <w:b/>
                <w:highlight w:val="yellow"/>
              </w:rPr>
              <w:t>studijní program připravující na výkon regulovaného povolání</w:t>
            </w:r>
            <w:r w:rsidRPr="00BA3A8B">
              <w:rPr>
                <w:highlight w:val="yellow"/>
              </w:rPr>
              <w:t>, je popsána návaznost profilu absolventa studijního programu na závazný kompetenční rámec či profil absolventa, byl-li uznávacím orgánem stanoven. Souhrnně se popíše, jakým způsobem jsou ve studijním programu u studentů rozvíjeny kompetence dle tohoto závazného kompetenčního rámce či profilu absolventa.</w:t>
            </w: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lastRenderedPageBreak/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09D1A5B0" w14:textId="4317BA0E" w:rsidR="00BA3A8B" w:rsidRDefault="00BA3A8B" w:rsidP="00BA3A8B">
            <w:pPr>
              <w:rPr>
                <w:highlight w:val="yellow"/>
              </w:rPr>
            </w:pPr>
            <w:r w:rsidRPr="006353FF">
              <w:rPr>
                <w:highlight w:val="yellow"/>
              </w:rPr>
              <w:t>Charakteristika profesí, pro jejichž výkon má být absolvent připraven, dalších možností jeho uplatnění a</w:t>
            </w:r>
            <w:r w:rsidR="00EC3694">
              <w:rPr>
                <w:highlight w:val="yellow"/>
              </w:rPr>
              <w:t> </w:t>
            </w:r>
            <w:r w:rsidRPr="006353FF">
              <w:rPr>
                <w:highlight w:val="yellow"/>
              </w:rPr>
              <w:t xml:space="preserve">charakteristiku zaměstnavatelů, u kterých bude moci uplatnit </w:t>
            </w:r>
            <w:r>
              <w:rPr>
                <w:highlight w:val="yellow"/>
              </w:rPr>
              <w:t xml:space="preserve">své </w:t>
            </w:r>
            <w:r w:rsidRPr="006353FF">
              <w:rPr>
                <w:highlight w:val="yellow"/>
              </w:rPr>
              <w:t xml:space="preserve">vzdělání. </w:t>
            </w:r>
          </w:p>
          <w:p w14:paraId="4ACE14C0" w14:textId="77777777" w:rsidR="00BA3A8B" w:rsidRDefault="00BA3A8B" w:rsidP="00BA3A8B">
            <w:pPr>
              <w:rPr>
                <w:highlight w:val="yellow"/>
              </w:rPr>
            </w:pPr>
          </w:p>
          <w:p w14:paraId="7E0D09E4" w14:textId="00499663" w:rsidR="00480C03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3694">
              <w:rPr>
                <w:b/>
                <w:highlight w:val="yellow"/>
              </w:rPr>
              <w:t>SP zaměřené na přípravu k výkonu regulovaného povolání</w:t>
            </w:r>
            <w:r>
              <w:rPr>
                <w:highlight w:val="yellow"/>
              </w:rPr>
              <w:t xml:space="preserve">: </w:t>
            </w:r>
            <w:r w:rsidRPr="006353FF">
              <w:rPr>
                <w:highlight w:val="yellow"/>
              </w:rPr>
              <w:t>uvádí se</w:t>
            </w:r>
            <w:r>
              <w:rPr>
                <w:highlight w:val="yellow"/>
              </w:rPr>
              <w:t xml:space="preserve"> </w:t>
            </w:r>
            <w:r w:rsidRPr="006353FF">
              <w:rPr>
                <w:highlight w:val="yellow"/>
              </w:rPr>
              <w:t>zejména přehled těchto regulovaných povolání.</w:t>
            </w:r>
          </w:p>
          <w:p w14:paraId="17EC42E6" w14:textId="1B2BE56B" w:rsidR="00BA3A8B" w:rsidRPr="00BA3A8B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27682E8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Uvádí se:</w:t>
            </w:r>
          </w:p>
          <w:p w14:paraId="62CEEF40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systému studia včetně systému volby povinně-volitelných a volitelných předmětů;</w:t>
            </w:r>
          </w:p>
          <w:p w14:paraId="37BD5925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kreditového systému – stačí uvést kreditový systém „ECTS;</w:t>
            </w:r>
          </w:p>
          <w:p w14:paraId="7611B3A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 xml:space="preserve">• rozsah vyučovací hodiny </w:t>
            </w:r>
          </w:p>
          <w:p w14:paraId="20273936" w14:textId="77777777" w:rsidR="00EB55A5" w:rsidRDefault="00EB55A5" w:rsidP="00EB55A5">
            <w:r w:rsidRPr="00B629B0">
              <w:rPr>
                <w:highlight w:val="yellow"/>
              </w:rPr>
              <w:t>další relevantní údaje k tvorbě studijních plánů.</w:t>
            </w:r>
          </w:p>
          <w:p w14:paraId="1BCA912E" w14:textId="77777777" w:rsidR="00EB55A5" w:rsidRDefault="00EB55A5" w:rsidP="00EB55A5"/>
          <w:p w14:paraId="19787183" w14:textId="77777777" w:rsidR="00174EC9" w:rsidRDefault="00EB55A5" w:rsidP="00EB55A5">
            <w:pPr>
              <w:pStyle w:val="Textpoznpodarou"/>
              <w:jc w:val="both"/>
            </w:pPr>
            <w:r>
              <w:t>UHK využívá kreditový systém ECTS. Délka vyučovací hodiny je stanovena Studijním a zkušebním řádem UHK na 45 minut.</w:t>
            </w:r>
          </w:p>
          <w:p w14:paraId="5C6C356F" w14:textId="1B7959D8" w:rsidR="00EB55A5" w:rsidRPr="00EB55A5" w:rsidRDefault="00EB55A5" w:rsidP="00EB55A5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10EC460F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Uvádí se maximální předpokládaný počet uchazečů, kteří se </w:t>
            </w:r>
            <w:r w:rsidRPr="00414780">
              <w:rPr>
                <w:b/>
                <w:highlight w:val="yellow"/>
              </w:rPr>
              <w:t xml:space="preserve">zapíší </w:t>
            </w:r>
            <w:r w:rsidRPr="00B94C53">
              <w:rPr>
                <w:highlight w:val="yellow"/>
              </w:rPr>
              <w:t xml:space="preserve">do studijního programu v akademickém roce, rozdělený podle forem studia. </w:t>
            </w:r>
          </w:p>
          <w:p w14:paraId="5348771A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Předpokládá-li fakulta nárůst počtu zapsaných uchazečů v průběhu jeho uskutečňování, uvedou se předpokládané počty i pro následující akademické roky. </w:t>
            </w:r>
          </w:p>
          <w:p w14:paraId="1E0E0F7E" w14:textId="77777777" w:rsidR="00EB55A5" w:rsidRPr="00B94C53" w:rsidRDefault="00EB55A5" w:rsidP="00EB55A5">
            <w:pPr>
              <w:rPr>
                <w:highlight w:val="yellow"/>
              </w:rPr>
            </w:pPr>
          </w:p>
          <w:p w14:paraId="1C750F98" w14:textId="6915CD1E" w:rsidR="00EB55A5" w:rsidRDefault="00EB55A5" w:rsidP="00EB55A5">
            <w:pPr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U již uskutečňovaných studijních programů</w:t>
            </w:r>
            <w:r w:rsidRPr="00B94C53">
              <w:rPr>
                <w:highlight w:val="yellow"/>
              </w:rPr>
              <w:t xml:space="preserve"> (např. v případě žádosti o prodloužení platnosti nebo rozšíření akreditace) se uvádí také počet zapsaných studentů v jednotlivých letech za posledních 5 let (příp. kratší dobu, je-li studijní program uskutečňován </w:t>
            </w:r>
            <w:r>
              <w:rPr>
                <w:highlight w:val="yellow"/>
              </w:rPr>
              <w:t>méně než 5 let</w:t>
            </w:r>
            <w:r w:rsidRPr="00B94C53">
              <w:rPr>
                <w:highlight w:val="yellow"/>
              </w:rPr>
              <w:t>).</w:t>
            </w:r>
          </w:p>
          <w:p w14:paraId="046AED04" w14:textId="15136243" w:rsidR="00EB55A5" w:rsidRDefault="00EB55A5" w:rsidP="00EB55A5"/>
          <w:p w14:paraId="5EB1A7F6" w14:textId="77777777" w:rsidR="000F3BE9" w:rsidRDefault="000F3BE9" w:rsidP="00EB55A5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79D28B3F" w14:textId="79897C99" w:rsidR="00174EC9" w:rsidRDefault="00EB55A5">
            <w:r w:rsidRPr="00790DA5">
              <w:rPr>
                <w:highlight w:val="yellow"/>
              </w:rPr>
              <w:t>Uvádí se studijní programy dalších typů uskutečňované fakultou, které na předkládaný studijní program navazují a/nebo na které studijní program navazuje.</w:t>
            </w:r>
          </w:p>
        </w:tc>
      </w:tr>
    </w:tbl>
    <w:p w14:paraId="0FCC580F" w14:textId="77777777" w:rsidR="00174EC9" w:rsidRDefault="00174EC9"/>
    <w:p w14:paraId="32218C15" w14:textId="0F81C9EE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10"/>
        <w:gridCol w:w="5775"/>
      </w:tblGrid>
      <w:tr w:rsidR="00174EC9" w14:paraId="64309FA0" w14:textId="77777777" w:rsidTr="008B7CFE">
        <w:tc>
          <w:tcPr>
            <w:tcW w:w="9285" w:type="dxa"/>
            <w:gridSpan w:val="2"/>
            <w:tcBorders>
              <w:bottom w:val="double" w:sz="4" w:space="0" w:color="auto"/>
            </w:tcBorders>
            <w:shd w:val="clear" w:color="auto" w:fill="BDD6EE"/>
          </w:tcPr>
          <w:p w14:paraId="4C07D985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B-</w:t>
            </w:r>
            <w:proofErr w:type="spellStart"/>
            <w:r>
              <w:rPr>
                <w:b/>
                <w:sz w:val="28"/>
              </w:rPr>
              <w:t>IIb</w:t>
            </w:r>
            <w:proofErr w:type="spellEnd"/>
            <w:r>
              <w:rPr>
                <w:b/>
                <w:sz w:val="28"/>
              </w:rPr>
              <w:t xml:space="preserve"> – Studijní plány a návrh témat prací (doktorské studijní programy)</w:t>
            </w:r>
          </w:p>
        </w:tc>
      </w:tr>
      <w:tr w:rsidR="00174EC9" w14:paraId="1AB5E413" w14:textId="77777777" w:rsidTr="008B7CFE">
        <w:tc>
          <w:tcPr>
            <w:tcW w:w="3510" w:type="dxa"/>
            <w:shd w:val="clear" w:color="auto" w:fill="F7CAAC"/>
          </w:tcPr>
          <w:p w14:paraId="3868B4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Studijní povinnosti</w:t>
            </w:r>
          </w:p>
        </w:tc>
        <w:tc>
          <w:tcPr>
            <w:tcW w:w="5775" w:type="dxa"/>
            <w:tcBorders>
              <w:bottom w:val="nil"/>
            </w:tcBorders>
          </w:tcPr>
          <w:p w14:paraId="23F21FAD" w14:textId="77777777" w:rsidR="00174EC9" w:rsidRDefault="00174EC9">
            <w:pPr>
              <w:jc w:val="both"/>
            </w:pPr>
          </w:p>
        </w:tc>
      </w:tr>
      <w:tr w:rsidR="00174EC9" w14:paraId="202572F3" w14:textId="77777777" w:rsidTr="008B7CFE">
        <w:trPr>
          <w:trHeight w:val="1950"/>
        </w:trPr>
        <w:tc>
          <w:tcPr>
            <w:tcW w:w="9285" w:type="dxa"/>
            <w:gridSpan w:val="2"/>
            <w:tcBorders>
              <w:top w:val="nil"/>
            </w:tcBorders>
          </w:tcPr>
          <w:p w14:paraId="373A83C2" w14:textId="77777777" w:rsidR="008B7CFE" w:rsidRDefault="008B7CFE" w:rsidP="00F4441E">
            <w:pPr>
              <w:jc w:val="both"/>
              <w:rPr>
                <w:highlight w:val="yellow"/>
              </w:rPr>
            </w:pPr>
            <w:r w:rsidRPr="00441DF2">
              <w:rPr>
                <w:highlight w:val="yellow"/>
              </w:rPr>
              <w:t>Uvádějí se požadavky na absolvování studijních předmětů apod. v rámci doktorského studia</w:t>
            </w:r>
            <w:r>
              <w:rPr>
                <w:highlight w:val="yellow"/>
              </w:rPr>
              <w:t>.</w:t>
            </w:r>
          </w:p>
          <w:p w14:paraId="6F2B41B1" w14:textId="77777777" w:rsidR="005E0BA5" w:rsidRDefault="005E0BA5" w:rsidP="005E0BA5">
            <w:pPr>
              <w:jc w:val="both"/>
              <w:rPr>
                <w:highlight w:val="yellow"/>
              </w:rPr>
            </w:pPr>
          </w:p>
          <w:p w14:paraId="4EFB7788" w14:textId="6EECDA95" w:rsidR="005E0BA5" w:rsidRDefault="005E0BA5" w:rsidP="005E0BA5">
            <w:pPr>
              <w:jc w:val="both"/>
            </w:pPr>
          </w:p>
        </w:tc>
      </w:tr>
      <w:tr w:rsidR="00174EC9" w14:paraId="1418F9E9" w14:textId="77777777" w:rsidTr="008B7CFE">
        <w:tc>
          <w:tcPr>
            <w:tcW w:w="3510" w:type="dxa"/>
            <w:shd w:val="clear" w:color="auto" w:fill="F7CAAC"/>
          </w:tcPr>
          <w:p w14:paraId="57B7A63F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Požadavky na tvůrčí činnost</w:t>
            </w:r>
          </w:p>
        </w:tc>
        <w:tc>
          <w:tcPr>
            <w:tcW w:w="5775" w:type="dxa"/>
            <w:tcBorders>
              <w:bottom w:val="nil"/>
            </w:tcBorders>
          </w:tcPr>
          <w:p w14:paraId="3B71B426" w14:textId="77777777" w:rsidR="00174EC9" w:rsidRDefault="00174EC9">
            <w:pPr>
              <w:jc w:val="both"/>
            </w:pPr>
          </w:p>
        </w:tc>
      </w:tr>
      <w:tr w:rsidR="00174EC9" w14:paraId="0F1F3173" w14:textId="77777777" w:rsidTr="008B7CFE">
        <w:trPr>
          <w:trHeight w:val="2165"/>
        </w:trPr>
        <w:tc>
          <w:tcPr>
            <w:tcW w:w="9285" w:type="dxa"/>
            <w:gridSpan w:val="2"/>
            <w:tcBorders>
              <w:top w:val="nil"/>
            </w:tcBorders>
          </w:tcPr>
          <w:p w14:paraId="1D382CE6" w14:textId="732FE252" w:rsidR="00174EC9" w:rsidRDefault="008B7CFE">
            <w:pPr>
              <w:jc w:val="both"/>
            </w:pPr>
            <w:r w:rsidRPr="003A1F47">
              <w:rPr>
                <w:highlight w:val="yellow"/>
              </w:rPr>
              <w:t xml:space="preserve">Uvádějí se požadavky na tvůrčí činnost v rámci doktorského </w:t>
            </w:r>
            <w:commentRangeStart w:id="4"/>
            <w:r w:rsidRPr="003A1F47">
              <w:rPr>
                <w:highlight w:val="yellow"/>
              </w:rPr>
              <w:t>studia</w:t>
            </w:r>
            <w:commentRangeEnd w:id="4"/>
            <w:r>
              <w:rPr>
                <w:rStyle w:val="Odkaznakoment"/>
              </w:rPr>
              <w:commentReference w:id="4"/>
            </w:r>
            <w:r w:rsidRPr="003A1F47">
              <w:rPr>
                <w:highlight w:val="yellow"/>
              </w:rPr>
              <w:t>.</w:t>
            </w:r>
          </w:p>
        </w:tc>
      </w:tr>
      <w:tr w:rsidR="00174EC9" w14:paraId="4E4ECAF1" w14:textId="77777777" w:rsidTr="008B7CFE">
        <w:tc>
          <w:tcPr>
            <w:tcW w:w="3510" w:type="dxa"/>
            <w:shd w:val="clear" w:color="auto" w:fill="F7CAAC"/>
          </w:tcPr>
          <w:p w14:paraId="3AB8BD9A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Požadavky na absolvování stáží</w:t>
            </w:r>
          </w:p>
        </w:tc>
        <w:tc>
          <w:tcPr>
            <w:tcW w:w="5775" w:type="dxa"/>
            <w:tcBorders>
              <w:bottom w:val="nil"/>
            </w:tcBorders>
          </w:tcPr>
          <w:p w14:paraId="5C4E98F5" w14:textId="77777777" w:rsidR="00174EC9" w:rsidRDefault="00174EC9">
            <w:pPr>
              <w:jc w:val="both"/>
            </w:pPr>
          </w:p>
        </w:tc>
      </w:tr>
      <w:tr w:rsidR="00174EC9" w14:paraId="1CD34B69" w14:textId="77777777" w:rsidTr="008B7CFE">
        <w:trPr>
          <w:trHeight w:val="1873"/>
        </w:trPr>
        <w:tc>
          <w:tcPr>
            <w:tcW w:w="9285" w:type="dxa"/>
            <w:gridSpan w:val="2"/>
            <w:tcBorders>
              <w:top w:val="nil"/>
            </w:tcBorders>
          </w:tcPr>
          <w:p w14:paraId="3FCC5485" w14:textId="567B05D9" w:rsidR="00174EC9" w:rsidRDefault="008B7CFE">
            <w:pPr>
              <w:jc w:val="both"/>
            </w:pPr>
            <w:r w:rsidRPr="00072718">
              <w:rPr>
                <w:highlight w:val="yellow"/>
              </w:rPr>
              <w:t xml:space="preserve">Uvádí se povinnost absolvování části studia v zahraničí nebo účast na zahraničním výzkumném projektu, pokud je součástí studia </w:t>
            </w:r>
            <w:commentRangeStart w:id="5"/>
            <w:r w:rsidRPr="00072718">
              <w:rPr>
                <w:highlight w:val="yellow"/>
              </w:rPr>
              <w:t>atd</w:t>
            </w:r>
            <w:commentRangeEnd w:id="5"/>
            <w:r>
              <w:rPr>
                <w:rStyle w:val="Odkaznakoment"/>
              </w:rPr>
              <w:commentReference w:id="5"/>
            </w:r>
            <w:r w:rsidRPr="00072718">
              <w:rPr>
                <w:highlight w:val="yellow"/>
              </w:rPr>
              <w:t>.</w:t>
            </w:r>
          </w:p>
        </w:tc>
      </w:tr>
      <w:tr w:rsidR="00174EC9" w14:paraId="7DC9D66D" w14:textId="77777777" w:rsidTr="008B7CFE">
        <w:tc>
          <w:tcPr>
            <w:tcW w:w="3510" w:type="dxa"/>
            <w:shd w:val="clear" w:color="auto" w:fill="F7CAAC"/>
          </w:tcPr>
          <w:p w14:paraId="7100AD7E" w14:textId="77777777" w:rsidR="00174EC9" w:rsidRDefault="00174EC9">
            <w:r>
              <w:rPr>
                <w:b/>
              </w:rPr>
              <w:t>Další studijní povinnosti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420CBD60" w14:textId="77777777" w:rsidR="00174EC9" w:rsidRDefault="00174EC9">
            <w:pPr>
              <w:jc w:val="center"/>
            </w:pPr>
          </w:p>
        </w:tc>
      </w:tr>
      <w:tr w:rsidR="00174EC9" w14:paraId="3E5EA303" w14:textId="77777777" w:rsidTr="008B7CFE">
        <w:trPr>
          <w:trHeight w:val="1875"/>
        </w:trPr>
        <w:tc>
          <w:tcPr>
            <w:tcW w:w="9285" w:type="dxa"/>
            <w:gridSpan w:val="2"/>
            <w:tcBorders>
              <w:top w:val="nil"/>
            </w:tcBorders>
          </w:tcPr>
          <w:p w14:paraId="43340989" w14:textId="11181EA4" w:rsidR="00174EC9" w:rsidRDefault="008B7CFE">
            <w:pPr>
              <w:jc w:val="both"/>
            </w:pPr>
            <w:r>
              <w:rPr>
                <w:highlight w:val="yellow"/>
              </w:rPr>
              <w:t>Uvádějí se i</w:t>
            </w:r>
            <w:r w:rsidRPr="00412244">
              <w:rPr>
                <w:highlight w:val="yellow"/>
              </w:rPr>
              <w:t>nformace o případném rozsahu zapojení studentů do výuky, odborné praxe apod.</w:t>
            </w:r>
          </w:p>
        </w:tc>
      </w:tr>
      <w:tr w:rsidR="00174EC9" w14:paraId="047552EB" w14:textId="77777777" w:rsidTr="008B7CFE">
        <w:tc>
          <w:tcPr>
            <w:tcW w:w="3510" w:type="dxa"/>
            <w:shd w:val="clear" w:color="auto" w:fill="F7CAAC"/>
          </w:tcPr>
          <w:p w14:paraId="4FA0868D" w14:textId="5D769277" w:rsidR="00174EC9" w:rsidRDefault="00174EC9">
            <w:r>
              <w:rPr>
                <w:b/>
              </w:rPr>
              <w:t>Návrh témat disertačních prací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disertačním pracím</w:t>
            </w:r>
          </w:p>
        </w:tc>
        <w:tc>
          <w:tcPr>
            <w:tcW w:w="5775" w:type="dxa"/>
            <w:tcBorders>
              <w:bottom w:val="nil"/>
            </w:tcBorders>
            <w:shd w:val="clear" w:color="auto" w:fill="FFFFFF"/>
          </w:tcPr>
          <w:p w14:paraId="5C56AE9B" w14:textId="77777777" w:rsidR="00174EC9" w:rsidRDefault="00174EC9">
            <w:pPr>
              <w:jc w:val="center"/>
            </w:pPr>
          </w:p>
        </w:tc>
      </w:tr>
      <w:tr w:rsidR="008B7CFE" w14:paraId="643237EA" w14:textId="77777777" w:rsidTr="008B7CFE">
        <w:trPr>
          <w:trHeight w:val="3087"/>
        </w:trPr>
        <w:tc>
          <w:tcPr>
            <w:tcW w:w="9285" w:type="dxa"/>
            <w:gridSpan w:val="2"/>
            <w:tcBorders>
              <w:top w:val="nil"/>
            </w:tcBorders>
          </w:tcPr>
          <w:p w14:paraId="6418128B" w14:textId="77777777" w:rsidR="008B7CFE" w:rsidRDefault="008B7CFE" w:rsidP="008B7CFE">
            <w:pPr>
              <w:jc w:val="both"/>
              <w:rPr>
                <w:highlight w:val="yellow"/>
              </w:rPr>
            </w:pPr>
            <w:r w:rsidRPr="00412244">
              <w:rPr>
                <w:highlight w:val="yellow"/>
              </w:rPr>
              <w:t xml:space="preserve">U nových studijních programů se uvádí návrh alespoň 5 témat disertačních prací. </w:t>
            </w:r>
          </w:p>
          <w:p w14:paraId="0A8C4347" w14:textId="77777777" w:rsidR="008B7CFE" w:rsidRDefault="008B7CFE" w:rsidP="008B7CFE">
            <w:pPr>
              <w:jc w:val="both"/>
              <w:rPr>
                <w:highlight w:val="yellow"/>
              </w:rPr>
            </w:pPr>
          </w:p>
          <w:p w14:paraId="41FDBA08" w14:textId="77777777" w:rsidR="008B7CFE" w:rsidRDefault="008B7CFE" w:rsidP="008B7CFE">
            <w:pPr>
              <w:jc w:val="both"/>
              <w:rPr>
                <w:b/>
                <w:highlight w:val="yellow"/>
              </w:rPr>
            </w:pPr>
            <w:r w:rsidRPr="00412244">
              <w:rPr>
                <w:highlight w:val="yellow"/>
              </w:rPr>
              <w:t xml:space="preserve">U prodloužení platnosti akreditace se uvádí </w:t>
            </w:r>
            <w:r w:rsidRPr="00551CA7">
              <w:rPr>
                <w:b/>
                <w:highlight w:val="yellow"/>
              </w:rPr>
              <w:t>všechny obhájené disertační práce za posledních 5 let a přístup k</w:t>
            </w:r>
            <w:r>
              <w:rPr>
                <w:b/>
                <w:highlight w:val="yellow"/>
              </w:rPr>
              <w:t xml:space="preserve"> </w:t>
            </w:r>
            <w:r w:rsidRPr="00551CA7">
              <w:rPr>
                <w:b/>
                <w:highlight w:val="yellow"/>
              </w:rPr>
              <w:t>plnému znění zveřejněných prací a posudkům k nim.</w:t>
            </w:r>
          </w:p>
          <w:p w14:paraId="3DD6AA6F" w14:textId="77777777" w:rsidR="008B7CFE" w:rsidRDefault="008B7CFE" w:rsidP="008B7CFE">
            <w:pPr>
              <w:jc w:val="both"/>
            </w:pPr>
          </w:p>
          <w:p w14:paraId="23FAB659" w14:textId="6F5542E2" w:rsidR="008B7CFE" w:rsidRDefault="008B7CFE" w:rsidP="008B7CFE">
            <w:pPr>
              <w:jc w:val="both"/>
            </w:pPr>
            <w:r w:rsidRPr="00551CA7">
              <w:t xml:space="preserve">Práce obhájené po 1. 1. 2015 jsou společně s posudky dostupné v uložišti THESES: </w:t>
            </w:r>
            <w:hyperlink r:id="rId12" w:history="1">
              <w:r w:rsidRPr="00551CA7">
                <w:t>http://theses.cz</w:t>
              </w:r>
            </w:hyperlink>
            <w:r w:rsidRPr="00551CA7">
              <w:t>.</w:t>
            </w:r>
          </w:p>
        </w:tc>
      </w:tr>
    </w:tbl>
    <w:p w14:paraId="75980610" w14:textId="77777777" w:rsidR="00174EC9" w:rsidRDefault="00174EC9"/>
    <w:p w14:paraId="642D8FE4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br w:type="page"/>
            </w:r>
            <w:r>
              <w:rPr>
                <w:b/>
                <w:sz w:val="28"/>
              </w:rPr>
              <w:t xml:space="preserve">B-III – Charakteristika studijního </w:t>
            </w:r>
            <w:commentRangeStart w:id="6"/>
            <w:r>
              <w:rPr>
                <w:b/>
                <w:sz w:val="28"/>
              </w:rPr>
              <w:t>předmětu</w:t>
            </w:r>
            <w:commentRangeEnd w:id="6"/>
            <w:r w:rsidR="0081711C">
              <w:rPr>
                <w:rStyle w:val="Odkaznakoment"/>
              </w:rPr>
              <w:commentReference w:id="6"/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commentRangeStart w:id="7"/>
            <w:r>
              <w:rPr>
                <w:b/>
              </w:rPr>
              <w:t>předmětu</w:t>
            </w:r>
            <w:commentRangeEnd w:id="7"/>
            <w:r w:rsidR="0061216F">
              <w:rPr>
                <w:rStyle w:val="Odkaznakoment"/>
              </w:rPr>
              <w:commentReference w:id="7"/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studijního </w:t>
            </w:r>
            <w:commentRangeStart w:id="8"/>
            <w:r>
              <w:rPr>
                <w:b/>
              </w:rPr>
              <w:t>předmětu</w:t>
            </w:r>
            <w:commentRangeEnd w:id="8"/>
            <w:r w:rsidR="0061216F">
              <w:rPr>
                <w:rStyle w:val="Odkaznakoment"/>
              </w:rPr>
              <w:commentReference w:id="8"/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r>
              <w:rPr>
                <w:b/>
              </w:rPr>
              <w:t xml:space="preserve">Prerekvizity,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 xml:space="preserve">, </w:t>
            </w:r>
            <w:commentRangeStart w:id="9"/>
            <w:r>
              <w:rPr>
                <w:b/>
              </w:rPr>
              <w:t>ekvivalence</w:t>
            </w:r>
            <w:commentRangeEnd w:id="9"/>
            <w:r w:rsidR="0061216F">
              <w:rPr>
                <w:rStyle w:val="Odkaznakoment"/>
              </w:rPr>
              <w:commentReference w:id="9"/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</w:t>
            </w:r>
            <w:commentRangeStart w:id="10"/>
            <w:r w:rsidR="00031440" w:rsidRPr="005A0406">
              <w:rPr>
                <w:b/>
              </w:rPr>
              <w:t>učení</w:t>
            </w:r>
            <w:commentRangeEnd w:id="10"/>
            <w:r w:rsidR="0061216F">
              <w:rPr>
                <w:rStyle w:val="Odkaznakoment"/>
              </w:rPr>
              <w:commentReference w:id="10"/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commentRangeStart w:id="11"/>
            <w:r>
              <w:rPr>
                <w:b/>
              </w:rPr>
              <w:t>výuky</w:t>
            </w:r>
            <w:commentRangeEnd w:id="11"/>
            <w:r w:rsidR="0061216F">
              <w:rPr>
                <w:rStyle w:val="Odkaznakoment"/>
              </w:rPr>
              <w:commentReference w:id="11"/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75E217D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Uvádí se </w:t>
            </w:r>
            <w:bookmarkStart w:id="12" w:name="_Hlk158206367"/>
            <w:r w:rsidRPr="00CB0274">
              <w:rPr>
                <w:highlight w:val="yellow"/>
              </w:rPr>
              <w:t xml:space="preserve">konkrétní podoba ověřování výsledků učení </w:t>
            </w:r>
            <w:bookmarkEnd w:id="12"/>
            <w:r w:rsidRPr="00CB0274">
              <w:rPr>
                <w:highlight w:val="yellow"/>
              </w:rPr>
              <w:t xml:space="preserve">uvedeného v předchozím bodě </w:t>
            </w:r>
            <w:bookmarkStart w:id="13" w:name="_Hlk158206448"/>
            <w:r w:rsidRPr="00CB0274">
              <w:rPr>
                <w:highlight w:val="yellow"/>
              </w:rPr>
              <w:t>(např. ústní zkouška, písemný test a jeho typ, hodnocení portfolií, prezentací, závěrečných projektů, esejí, hodnocení praktických dovedností /např. OSCE, umělecká performance/ atd., případně zda ověřování výsledků učení probíhá prezenčně nebo distančně)</w:t>
            </w:r>
            <w:bookmarkEnd w:id="13"/>
            <w:r>
              <w:rPr>
                <w:highlight w:val="yellow"/>
              </w:rPr>
              <w:t>.</w:t>
            </w:r>
          </w:p>
          <w:p w14:paraId="17AE241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7507559D" w14:textId="77777777" w:rsidR="00CB0274" w:rsidRDefault="00CB0274" w:rsidP="00CB0274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Uvádějí se </w:t>
            </w:r>
            <w:r w:rsidRPr="00CB0274">
              <w:rPr>
                <w:highlight w:val="yellow"/>
              </w:rPr>
              <w:t>další požadavky na stud</w:t>
            </w:r>
            <w:r>
              <w:rPr>
                <w:highlight w:val="yellow"/>
              </w:rPr>
              <w:t>ující</w:t>
            </w:r>
            <w:r w:rsidRPr="00CB0274">
              <w:rPr>
                <w:highlight w:val="yellow"/>
              </w:rPr>
              <w:t xml:space="preserve"> vedoucí k úspěšnému zakončení předmětu, např. docházka, </w:t>
            </w:r>
            <w:bookmarkStart w:id="14" w:name="_Hlk158206476"/>
            <w:r w:rsidRPr="00CB0274">
              <w:rPr>
                <w:highlight w:val="yellow"/>
              </w:rPr>
              <w:t>účast na výuce s využitím prvků distančního vzdělávání</w:t>
            </w:r>
            <w:bookmarkEnd w:id="14"/>
            <w:r w:rsidRPr="00CB0274">
              <w:rPr>
                <w:highlight w:val="yellow"/>
              </w:rPr>
              <w:t xml:space="preserve"> apod. </w:t>
            </w:r>
            <w:bookmarkStart w:id="15" w:name="_Hlk158206487"/>
          </w:p>
          <w:p w14:paraId="18B4574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300BB17E" w14:textId="356C598D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 popsány nástroje zajištění řádného průběhu ověřování výsledků učení (prevence podvodů, rovné šance všech studentů atd.). </w:t>
            </w:r>
            <w:bookmarkEnd w:id="15"/>
          </w:p>
          <w:p w14:paraId="443B3236" w14:textId="58F212EE" w:rsidR="00CB0274" w:rsidRDefault="00CB0274" w:rsidP="00CB0274">
            <w:pPr>
              <w:jc w:val="both"/>
              <w:rPr>
                <w:sz w:val="24"/>
              </w:rPr>
            </w:pPr>
          </w:p>
          <w:p w14:paraId="59CD1CFC" w14:textId="3A6D731B" w:rsidR="00CB0274" w:rsidRPr="00C12EC1" w:rsidRDefault="00CB0274" w:rsidP="00CB0274">
            <w:pPr>
              <w:jc w:val="both"/>
              <w:rPr>
                <w:sz w:val="24"/>
              </w:rPr>
            </w:pPr>
            <w:r w:rsidRPr="00172C93">
              <w:rPr>
                <w:highlight w:val="yellow"/>
              </w:rPr>
              <w:t xml:space="preserve">Zároveň se doporučuje uvést i časovou zátěž těchto požadavků ve vztahu k počtu </w:t>
            </w:r>
            <w:commentRangeStart w:id="16"/>
            <w:r w:rsidRPr="00172C93">
              <w:rPr>
                <w:highlight w:val="yellow"/>
              </w:rPr>
              <w:t>kreditů</w:t>
            </w:r>
            <w:commentRangeEnd w:id="16"/>
            <w:r>
              <w:rPr>
                <w:rStyle w:val="Odkaznakoment"/>
              </w:rPr>
              <w:commentReference w:id="16"/>
            </w:r>
            <w:r>
              <w:rPr>
                <w:highlight w:val="yellow"/>
              </w:rPr>
              <w:t>.</w:t>
            </w:r>
          </w:p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65E7CF9D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 pouze u předmětů profilujícího základu (předměty PZ a ZT).</w:t>
            </w: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032CA4C7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se, jakým způsobem se garant podílí na výuce předmětu.</w:t>
            </w: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12A98860" w:rsidR="00174EC9" w:rsidRDefault="00CB0274">
            <w:pPr>
              <w:jc w:val="both"/>
            </w:pPr>
            <w:r w:rsidRPr="0060743E">
              <w:rPr>
                <w:highlight w:val="yellow"/>
              </w:rPr>
              <w:t>Uvádějí se vyučující předmětu tak, jak jsou uvedeni v příloze B-II.</w:t>
            </w: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C398AC2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Uvádí se</w:t>
            </w:r>
            <w:r>
              <w:rPr>
                <w:highlight w:val="yellow"/>
              </w:rPr>
              <w:t>:</w:t>
            </w:r>
          </w:p>
          <w:p w14:paraId="0FA26503" w14:textId="02E3A56B" w:rsidR="00CB0274" w:rsidRPr="00414780" w:rsidRDefault="00CB0274" w:rsidP="00CB0274">
            <w:pPr>
              <w:jc w:val="both"/>
              <w:rPr>
                <w:b/>
                <w:highlight w:val="yellow"/>
              </w:rPr>
            </w:pPr>
            <w:r w:rsidRPr="00414780">
              <w:rPr>
                <w:b/>
                <w:highlight w:val="yellow"/>
              </w:rPr>
              <w:t>1) očekávané výsledky učení (znalosti, dovednosti, způsobilosti).</w:t>
            </w:r>
          </w:p>
          <w:p w14:paraId="54B935BB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2)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témata (osnova) předmětu</w:t>
            </w:r>
            <w:r w:rsidRPr="00CB0274">
              <w:rPr>
                <w:highlight w:val="yellow"/>
              </w:rPr>
              <w:t xml:space="preserve"> po jednotlivých týdnech (blocích) výuky. </w:t>
            </w:r>
          </w:p>
          <w:p w14:paraId="57895383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53E014EE" w14:textId="27DF5921" w:rsidR="00174EC9" w:rsidRPr="00CB0274" w:rsidRDefault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Byl-li v případě </w:t>
            </w:r>
            <w:r w:rsidRPr="00414780">
              <w:rPr>
                <w:b/>
                <w:highlight w:val="yellow"/>
              </w:rPr>
              <w:t>studijních programů zaměřených na přípravu na výkon regulovaného povolání stanoven</w:t>
            </w:r>
            <w:r w:rsidRPr="00CB0274">
              <w:rPr>
                <w:highlight w:val="yellow"/>
              </w:rPr>
              <w:t xml:space="preserve"> závazný kompetenční rámec či profil absolventa, uvádí se, které konkrétní kompetence dle tohoto závazného kompetenčního rámce či profilu absolventa studijní předmět rozvíjí u studentů.</w:t>
            </w: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0DC844D9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Uvedou se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metody a přístupy používané ve výuce a pro podporu učení studentů</w:t>
            </w:r>
            <w:r w:rsidRPr="00CB0274">
              <w:rPr>
                <w:highlight w:val="yellow"/>
              </w:rPr>
              <w:t xml:space="preserve"> (např. metody vedoucí k aktivizaci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v průběhu vzdělávání, k zajištění kooperativního učení a zpětné vazby, k zajištění formativní výuky či formativního hodnocení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atd.). Uvedou se </w:t>
            </w:r>
            <w:r w:rsidRPr="00414780">
              <w:rPr>
                <w:b/>
                <w:highlight w:val="yellow"/>
              </w:rPr>
              <w:t>používané didaktické prostředky</w:t>
            </w:r>
            <w:r w:rsidRPr="00CB0274">
              <w:rPr>
                <w:highlight w:val="yellow"/>
              </w:rPr>
              <w:t xml:space="preserve"> (učební pomůcky, technika, prostory a zařízení), včetně nástrojů distančního vzdělávání. </w:t>
            </w:r>
          </w:p>
          <w:p w14:paraId="180572DC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2D5EA7A1" w14:textId="17916FDB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Jsou-li </w:t>
            </w:r>
            <w:r w:rsidRPr="00414780">
              <w:rPr>
                <w:b/>
                <w:highlight w:val="yellow"/>
              </w:rPr>
              <w:t>v rámci výuky v prezenční formě studia využívány prvky distančního vzdělávání</w:t>
            </w:r>
            <w:r w:rsidRPr="00CB0274">
              <w:rPr>
                <w:highlight w:val="yellow"/>
              </w:rPr>
              <w:t>, uvede se způsob využití těchto prvků a zdůvodnění jejich zařazení do výuky, zvláště pokud jde o jejich přínos pro stud</w:t>
            </w:r>
            <w:r>
              <w:rPr>
                <w:highlight w:val="yellow"/>
              </w:rPr>
              <w:t xml:space="preserve">ující </w:t>
            </w:r>
            <w:r w:rsidRPr="00CB0274">
              <w:rPr>
                <w:highlight w:val="yellow"/>
              </w:rPr>
              <w:t>z hlediska cíle vzdělávání a očekávaných výsledků učení.</w:t>
            </w:r>
            <w:r w:rsidR="00934E53">
              <w:rPr>
                <w:highlight w:val="yellow"/>
              </w:rPr>
              <w:t xml:space="preserve"> Využití prvků distančního vzdělávání by mělo být v souladu s metodickým pokynem NAÚ: </w:t>
            </w:r>
            <w:hyperlink r:id="rId13" w:history="1">
              <w:r w:rsidR="00934E53" w:rsidRPr="00845027">
                <w:rPr>
                  <w:rStyle w:val="Hypertextovodkaz"/>
                </w:rPr>
                <w:t>https://www.nauvs.cz/index.php/cs/metodiky/172-metodicky-pokyn-nau-k-vyuzivani-prvku-distancniho-vzdelavani-v-prezencni-forme-studia</w:t>
              </w:r>
            </w:hyperlink>
            <w:r w:rsidR="00934E53">
              <w:t xml:space="preserve">. </w:t>
            </w:r>
          </w:p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69C1B311" w14:textId="3FF8B300" w:rsidR="00642136" w:rsidRDefault="00185FC3" w:rsidP="00185FC3">
            <w:pPr>
              <w:jc w:val="both"/>
              <w:rPr>
                <w:highlight w:val="yellow"/>
              </w:rPr>
            </w:pPr>
            <w:r w:rsidRPr="00430C65">
              <w:rPr>
                <w:b/>
                <w:highlight w:val="yellow"/>
              </w:rPr>
              <w:t>Seznam základní studijní literatury</w:t>
            </w:r>
            <w:r w:rsidRPr="00430C65">
              <w:rPr>
                <w:highlight w:val="yellow"/>
              </w:rPr>
              <w:t xml:space="preserve"> obsahuje </w:t>
            </w:r>
            <w:r w:rsidRPr="00430C65">
              <w:rPr>
                <w:b/>
                <w:highlight w:val="yellow"/>
              </w:rPr>
              <w:t>aktuální tituly včetně zahraničních</w:t>
            </w:r>
            <w:r w:rsidRPr="00430C65">
              <w:rPr>
                <w:highlight w:val="yellow"/>
              </w:rPr>
              <w:t xml:space="preserve">. Aktuálnost se posuzuje s přihlédnutím k charakteristice studijního programu a oblasti vzdělávání. Základní studijní literatura se člení </w:t>
            </w:r>
            <w:r w:rsidRPr="00430C65">
              <w:rPr>
                <w:b/>
                <w:highlight w:val="yellow"/>
              </w:rPr>
              <w:t>na povinnou a doporučenou</w:t>
            </w:r>
            <w:r w:rsidRPr="00430C65">
              <w:rPr>
                <w:highlight w:val="yellow"/>
              </w:rPr>
              <w:t xml:space="preserve"> a případné studijní pomůcky. Doporučuje se využívat u všech předmětů stejnou citační normu dle zvyklostí oboru.</w:t>
            </w:r>
          </w:p>
          <w:p w14:paraId="42F7EBC7" w14:textId="77777777" w:rsidR="00642136" w:rsidRPr="00430C65" w:rsidRDefault="00642136" w:rsidP="00185FC3">
            <w:pPr>
              <w:jc w:val="both"/>
              <w:rPr>
                <w:highlight w:val="yellow"/>
              </w:rPr>
            </w:pPr>
          </w:p>
          <w:p w14:paraId="4130E72E" w14:textId="77777777" w:rsidR="00185FC3" w:rsidRDefault="00185FC3" w:rsidP="00185FC3">
            <w:pPr>
              <w:jc w:val="both"/>
            </w:pPr>
            <w:r w:rsidRPr="00430C65">
              <w:rPr>
                <w:highlight w:val="yellow"/>
              </w:rPr>
              <w:t>Vzory studijních distančních textů a multimediálních pomůcek (tzv. studijní opory) pro kombinovanou nebo distanční formu se přikládají jako příloha k žádosti formou odkazu a přístupových údajů na webové stránky, kde jsou umístěny (viz formulář A-I žádosti o akreditaci).</w:t>
            </w:r>
          </w:p>
          <w:p w14:paraId="1AA7CE6D" w14:textId="77777777" w:rsidR="00185FC3" w:rsidRDefault="00185FC3" w:rsidP="00185FC3">
            <w:pPr>
              <w:pStyle w:val="Textpoznpodarou"/>
              <w:widowControl/>
              <w:jc w:val="both"/>
              <w:rPr>
                <w:sz w:val="24"/>
              </w:rPr>
            </w:pPr>
          </w:p>
          <w:p w14:paraId="7C0C19D7" w14:textId="77777777" w:rsidR="00174EC9" w:rsidRDefault="00174EC9" w:rsidP="00642136">
            <w:pPr>
              <w:pStyle w:val="Textpoznpodarou"/>
              <w:widowControl/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Informace ke kombinované nebo distanční </w:t>
            </w:r>
            <w:commentRangeStart w:id="17"/>
            <w:r>
              <w:rPr>
                <w:b/>
              </w:rPr>
              <w:t>formě</w:t>
            </w:r>
            <w:commentRangeEnd w:id="17"/>
            <w:r w:rsidR="00642136">
              <w:rPr>
                <w:rStyle w:val="Odkaznakoment"/>
              </w:rPr>
              <w:commentReference w:id="17"/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</w:t>
            </w:r>
            <w:commentRangeStart w:id="18"/>
            <w:r>
              <w:rPr>
                <w:b/>
              </w:rPr>
              <w:t>soustředění</w:t>
            </w:r>
            <w:commentRangeEnd w:id="18"/>
            <w:r w:rsidR="00642136">
              <w:rPr>
                <w:rStyle w:val="Odkaznakoment"/>
              </w:rPr>
              <w:commentReference w:id="18"/>
            </w:r>
            <w:r>
              <w:rPr>
                <w:b/>
              </w:rPr>
              <w:t>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AFB0CD" w:rsidR="00174EC9" w:rsidRDefault="00642136">
            <w:pPr>
              <w:jc w:val="both"/>
            </w:pPr>
            <w:r w:rsidRPr="00EB759F">
              <w:rPr>
                <w:highlight w:val="yellow"/>
              </w:rPr>
              <w:t>Popis způsobu kontaktu s vyučujícím včetně systému konzultací. U předmětů uskutečňovaných v distanční formě studia se uvádí také způsob zajištění komunikace mezi stud</w:t>
            </w:r>
            <w:r>
              <w:rPr>
                <w:highlight w:val="yellow"/>
              </w:rPr>
              <w:t>ujícími</w:t>
            </w:r>
            <w:r w:rsidRPr="00EB759F">
              <w:rPr>
                <w:highlight w:val="yellow"/>
              </w:rPr>
              <w:t xml:space="preserve"> navzájem.</w:t>
            </w:r>
          </w:p>
        </w:tc>
      </w:tr>
    </w:tbl>
    <w:p w14:paraId="78422796" w14:textId="723F43CA" w:rsidR="00642136" w:rsidRDefault="00642136"/>
    <w:p w14:paraId="19692864" w14:textId="517263C4" w:rsidR="00174EC9" w:rsidRDefault="00174EC9"/>
    <w:sectPr w:rsidR="00174EC9" w:rsidSect="0054744C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4899A95E" w14:textId="7FF0FC46" w:rsidR="001F3DAE" w:rsidRDefault="001F3DAE">
      <w:pPr>
        <w:pStyle w:val="Textkomente"/>
      </w:pPr>
      <w:r>
        <w:rPr>
          <w:rStyle w:val="Odkaznakoment"/>
        </w:rPr>
        <w:annotationRef/>
      </w:r>
      <w:r>
        <w:t>Vyberte, o jakou formu studia v akreditaci žádáte.</w:t>
      </w:r>
    </w:p>
  </w:comment>
  <w:comment w:id="1" w:author="Autor" w:initials="A">
    <w:p w14:paraId="04AB4429" w14:textId="16C69222" w:rsidR="00E9676A" w:rsidRDefault="00E9676A">
      <w:pPr>
        <w:pStyle w:val="Textkomente"/>
      </w:pPr>
      <w:r>
        <w:rPr>
          <w:rStyle w:val="Odkaznakoment"/>
        </w:rPr>
        <w:annotationRef/>
      </w:r>
      <w:r>
        <w:t>Jazyk studia může být jen jeden.</w:t>
      </w:r>
    </w:p>
  </w:comment>
  <w:comment w:id="2" w:author="Autor" w:initials="A">
    <w:p w14:paraId="784BAB43" w14:textId="2AE430EA" w:rsidR="00E9676A" w:rsidRDefault="00E9676A" w:rsidP="00E9676A">
      <w:pPr>
        <w:pStyle w:val="Textpoznpodarou"/>
        <w:jc w:val="both"/>
        <w:rPr>
          <w:sz w:val="24"/>
          <w:szCs w:val="24"/>
        </w:rPr>
      </w:pPr>
      <w:r>
        <w:rPr>
          <w:rStyle w:val="Odkaznakoment"/>
        </w:rPr>
        <w:annotationRef/>
      </w:r>
      <w:r>
        <w:rPr>
          <w:sz w:val="24"/>
          <w:szCs w:val="24"/>
        </w:rPr>
        <w:t>Vyplní se pouze pokud jde o přípravu na regulované povolání. K žádosti musí být doloženo stanovisko příslušného regulačního orgánu, příp. stanoviska, pokud je regulačních orgánů více</w:t>
      </w:r>
      <w:r w:rsidR="005F4E73">
        <w:rPr>
          <w:sz w:val="24"/>
          <w:szCs w:val="24"/>
        </w:rPr>
        <w:t>, jedná se o přílohu F</w:t>
      </w:r>
      <w:r>
        <w:rPr>
          <w:sz w:val="24"/>
          <w:szCs w:val="24"/>
        </w:rPr>
        <w:t>.</w:t>
      </w:r>
    </w:p>
    <w:p w14:paraId="79C181DB" w14:textId="09F61AEF" w:rsidR="00E9676A" w:rsidRDefault="00E9676A" w:rsidP="00E9676A">
      <w:pPr>
        <w:pStyle w:val="Textkomente"/>
      </w:pPr>
      <w:r>
        <w:rPr>
          <w:sz w:val="24"/>
          <w:szCs w:val="24"/>
        </w:rPr>
        <w:t xml:space="preserve">Regulovaná povolání a regulující instituce k dispozici zde: </w:t>
      </w:r>
      <w:hyperlink r:id="rId1" w:history="1">
        <w:r>
          <w:rPr>
            <w:rStyle w:val="Hypertextovodkaz"/>
          </w:rPr>
          <w:t>https://uok.msmt.cz/uok/ru_list.php</w:t>
        </w:r>
      </w:hyperlink>
    </w:p>
  </w:comment>
  <w:comment w:id="3" w:author="Autor" w:initials="A">
    <w:p w14:paraId="35C78704" w14:textId="2B6FE250" w:rsidR="00BA3A8B" w:rsidRDefault="00BA3A8B">
      <w:pPr>
        <w:pStyle w:val="Textkomente"/>
      </w:pPr>
      <w:r>
        <w:rPr>
          <w:rStyle w:val="Odkaznakoment"/>
        </w:rPr>
        <w:annotationRef/>
      </w:r>
      <w:r>
        <w:t xml:space="preserve">Jedná se o zařazení do oblastí vzdělávání určených nařízením vlády č. 275/2016, viz: </w:t>
      </w:r>
      <w:hyperlink r:id="rId2" w:history="1">
        <w:r w:rsidRPr="008851C6">
          <w:rPr>
            <w:rStyle w:val="Hypertextovodkaz"/>
          </w:rPr>
          <w:t>https://www.nauvs.cz/attachments/article/4/Narizeni_vlady_c_275_2016.pdf</w:t>
        </w:r>
      </w:hyperlink>
      <w:r>
        <w:t>.</w:t>
      </w:r>
    </w:p>
  </w:comment>
  <w:comment w:id="4" w:author="Autor" w:initials="A">
    <w:p w14:paraId="0F0A4653" w14:textId="77777777" w:rsidR="008B7CFE" w:rsidRDefault="008B7CFE" w:rsidP="008B7CFE">
      <w:pPr>
        <w:pStyle w:val="Textkomente"/>
      </w:pPr>
      <w:r>
        <w:rPr>
          <w:rStyle w:val="Odkaznakoment"/>
        </w:rPr>
        <w:annotationRef/>
      </w:r>
      <w:r>
        <w:t>Předpokladem pro veřejnou obhajobu disertační práce je předložení odborných výstupů tvůrčí činnosti.</w:t>
      </w:r>
    </w:p>
  </w:comment>
  <w:comment w:id="5" w:author="Autor" w:initials="A">
    <w:p w14:paraId="489C2C26" w14:textId="77777777" w:rsidR="008B7CFE" w:rsidRDefault="008B7CFE" w:rsidP="008B7CFE">
      <w:pPr>
        <w:pStyle w:val="Textkomente"/>
      </w:pPr>
      <w:r>
        <w:rPr>
          <w:rStyle w:val="Odkaznakoment"/>
        </w:rPr>
        <w:annotationRef/>
      </w:r>
      <w:r>
        <w:t>Dle standardů pro akreditace:</w:t>
      </w:r>
    </w:p>
    <w:p w14:paraId="2A56913C" w14:textId="77777777" w:rsidR="008B7CFE" w:rsidRDefault="008B7CFE" w:rsidP="008B7CFE">
      <w:pPr>
        <w:pStyle w:val="Textkomente"/>
      </w:pPr>
      <w:r>
        <w:t>„Součástí studijních povinností v doktorském studijním programu je absolvování části studia na zahraniční instituci v délce nejméně jednoho měsíce nebo účast na mezinárodním tvůrčím projektu s výsledky publikovanými nebo prezentovanými v zahraničí nebo jiná forma přímé účasti studenta na mezinárodní spolupráci.“</w:t>
      </w:r>
    </w:p>
    <w:p w14:paraId="560E860F" w14:textId="77777777" w:rsidR="008B7CFE" w:rsidRDefault="008B7CFE" w:rsidP="008B7CFE">
      <w:pPr>
        <w:pStyle w:val="Textkomente"/>
      </w:pPr>
    </w:p>
  </w:comment>
  <w:comment w:id="6" w:author="Autor" w:initials="A">
    <w:p w14:paraId="47DDE5DD" w14:textId="7D353C0A" w:rsidR="0081711C" w:rsidRDefault="0081711C" w:rsidP="0081711C">
      <w:pPr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Přikládá se pro každý předmět uvedený v příloze B-II.</w:t>
      </w:r>
    </w:p>
    <w:p w14:paraId="7E4D4BC2" w14:textId="766042B1" w:rsidR="0061216F" w:rsidRDefault="0061216F" w:rsidP="0081711C">
      <w:pPr>
        <w:rPr>
          <w:sz w:val="24"/>
        </w:rPr>
      </w:pPr>
    </w:p>
    <w:p w14:paraId="7F994DE3" w14:textId="1F01A41D" w:rsidR="0081711C" w:rsidRDefault="0061216F">
      <w:pPr>
        <w:pStyle w:val="Textkomente"/>
      </w:pPr>
      <w:r>
        <w:rPr>
          <w:sz w:val="24"/>
        </w:rPr>
        <w:t>Doporučuje se řazení předmětových formulářů dle toho, jak jsou předměty uvedeny v příloze B-II, případně lze řadit i abecedně.</w:t>
      </w:r>
    </w:p>
  </w:comment>
  <w:comment w:id="7" w:author="Autor" w:initials="A">
    <w:p w14:paraId="62110883" w14:textId="530B9DC7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Povinný, povinně volitelný. U předmětů profilujícího základu se uvede PZ, nebo ZT (dle typu předmětu).</w:t>
      </w:r>
    </w:p>
  </w:comment>
  <w:comment w:id="8" w:author="Autor" w:initials="A">
    <w:p w14:paraId="67335422" w14:textId="34DE5011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Celkový rozsah vyučovacích hodin předmětu za semestr. Údaje by měly být totožné, jako v příloze B-II.</w:t>
      </w:r>
    </w:p>
  </w:comment>
  <w:comment w:id="9" w:author="Autor" w:initials="A">
    <w:p w14:paraId="2184E632" w14:textId="77777777" w:rsidR="0061216F" w:rsidRDefault="0061216F" w:rsidP="0061216F">
      <w:pPr>
        <w:jc w:val="both"/>
        <w:rPr>
          <w:sz w:val="24"/>
        </w:rPr>
      </w:pPr>
      <w:r>
        <w:rPr>
          <w:rStyle w:val="Odkaznakoment"/>
        </w:rPr>
        <w:annotationRef/>
      </w:r>
      <w:r w:rsidRPr="00724DAF">
        <w:rPr>
          <w:sz w:val="24"/>
        </w:rPr>
        <w:t>Prerekvizity</w:t>
      </w:r>
      <w:r>
        <w:rPr>
          <w:sz w:val="24"/>
        </w:rPr>
        <w:t xml:space="preserve">: </w:t>
      </w:r>
      <w:r w:rsidRPr="00724DAF">
        <w:rPr>
          <w:sz w:val="24"/>
        </w:rPr>
        <w:t xml:space="preserve">předměty, bez jejichž splnění nelze daný předmět zapsat. </w:t>
      </w:r>
    </w:p>
    <w:p w14:paraId="027FD54C" w14:textId="77777777" w:rsidR="0061216F" w:rsidRDefault="0061216F" w:rsidP="0061216F">
      <w:pPr>
        <w:jc w:val="both"/>
        <w:rPr>
          <w:sz w:val="24"/>
        </w:rPr>
      </w:pPr>
      <w:r w:rsidRPr="00724DAF">
        <w:rPr>
          <w:sz w:val="24"/>
        </w:rPr>
        <w:t>Korekvizity</w:t>
      </w:r>
      <w:r>
        <w:rPr>
          <w:sz w:val="24"/>
        </w:rPr>
        <w:t>:</w:t>
      </w:r>
      <w:r w:rsidRPr="00724DAF">
        <w:rPr>
          <w:sz w:val="24"/>
        </w:rPr>
        <w:t xml:space="preserve"> předměty, které musí být zapsány </w:t>
      </w:r>
      <w:r>
        <w:rPr>
          <w:sz w:val="24"/>
        </w:rPr>
        <w:t xml:space="preserve">nejpozději </w:t>
      </w:r>
      <w:r w:rsidRPr="00724DAF">
        <w:rPr>
          <w:sz w:val="24"/>
        </w:rPr>
        <w:t>ve stejném ročníku</w:t>
      </w:r>
      <w:r>
        <w:rPr>
          <w:sz w:val="24"/>
        </w:rPr>
        <w:t>/semestru</w:t>
      </w:r>
      <w:r w:rsidRPr="00724DAF">
        <w:rPr>
          <w:sz w:val="24"/>
        </w:rPr>
        <w:t xml:space="preserve"> jako daný předmět.</w:t>
      </w:r>
      <w:r>
        <w:rPr>
          <w:sz w:val="24"/>
        </w:rPr>
        <w:t xml:space="preserve"> </w:t>
      </w:r>
    </w:p>
    <w:p w14:paraId="6CF9C97D" w14:textId="4977A30B" w:rsidR="0061216F" w:rsidRPr="0061216F" w:rsidRDefault="0061216F" w:rsidP="0061216F">
      <w:pPr>
        <w:jc w:val="both"/>
        <w:rPr>
          <w:sz w:val="24"/>
        </w:rPr>
      </w:pPr>
      <w:r w:rsidRPr="001C7EA9">
        <w:rPr>
          <w:sz w:val="24"/>
        </w:rPr>
        <w:t>Ekvivalence</w:t>
      </w:r>
      <w:r>
        <w:rPr>
          <w:sz w:val="24"/>
        </w:rPr>
        <w:t xml:space="preserve">: </w:t>
      </w:r>
      <w:r w:rsidRPr="001C7EA9">
        <w:rPr>
          <w:sz w:val="24"/>
        </w:rPr>
        <w:t>takový vztah mezi dvěma předměty, kdy je stanoveno, že absolvováním prvního předmětu je z hlediska plnění studijního plánu považován za absolvovaný druhý předmět a absolvováním druhého předmětu je z hlediska plnění studijního plánu považován za absolvovaný první předmět</w:t>
      </w:r>
      <w:r>
        <w:rPr>
          <w:sz w:val="24"/>
        </w:rPr>
        <w:t>.</w:t>
      </w:r>
    </w:p>
  </w:comment>
  <w:comment w:id="10" w:author="Autor" w:initials="A">
    <w:p w14:paraId="3B251832" w14:textId="77777777" w:rsidR="0061216F" w:rsidRDefault="0061216F" w:rsidP="0061216F">
      <w:pPr>
        <w:pStyle w:val="Textkomente"/>
      </w:pPr>
      <w:r>
        <w:rPr>
          <w:rStyle w:val="Odkaznakoment"/>
        </w:rPr>
        <w:annotationRef/>
      </w:r>
      <w:r>
        <w:t>zápočet</w:t>
      </w:r>
    </w:p>
    <w:p w14:paraId="191DF87A" w14:textId="77777777" w:rsidR="0061216F" w:rsidRDefault="0061216F" w:rsidP="0061216F">
      <w:pPr>
        <w:pStyle w:val="Textkomente"/>
      </w:pPr>
      <w:r>
        <w:t>klasifikovaný zápočet</w:t>
      </w:r>
    </w:p>
    <w:p w14:paraId="2DD230A5" w14:textId="77777777" w:rsidR="0061216F" w:rsidRDefault="0061216F" w:rsidP="0061216F">
      <w:pPr>
        <w:pStyle w:val="Textkomente"/>
      </w:pPr>
      <w:r>
        <w:t>zkouška</w:t>
      </w:r>
    </w:p>
    <w:p w14:paraId="0DB6BB7C" w14:textId="73A0F8FD" w:rsidR="0061216F" w:rsidRDefault="0061216F" w:rsidP="0061216F">
      <w:pPr>
        <w:pStyle w:val="Textkomente"/>
      </w:pPr>
      <w:r>
        <w:t>zápočet, zkouška</w:t>
      </w:r>
    </w:p>
  </w:comment>
  <w:comment w:id="11" w:author="Autor" w:initials="A">
    <w:p w14:paraId="017CF3F5" w14:textId="50EF8F30" w:rsidR="0061216F" w:rsidRDefault="0061216F">
      <w:pPr>
        <w:pStyle w:val="Textkomente"/>
      </w:pPr>
      <w:r>
        <w:rPr>
          <w:rStyle w:val="Odkaznakoment"/>
        </w:rPr>
        <w:annotationRef/>
      </w:r>
      <w:r>
        <w:t>přednáška, seminář, cvičení, exkurze atd.</w:t>
      </w:r>
    </w:p>
  </w:comment>
  <w:comment w:id="16" w:author="Autor" w:initials="A">
    <w:p w14:paraId="13E5A5AF" w14:textId="77777777" w:rsidR="00CB0274" w:rsidRDefault="00CB0274" w:rsidP="00CB0274">
      <w:pPr>
        <w:pStyle w:val="Textkomente"/>
      </w:pPr>
      <w:r>
        <w:rPr>
          <w:rStyle w:val="Odkaznakoment"/>
        </w:rPr>
        <w:annotationRef/>
      </w:r>
      <w:r>
        <w:t xml:space="preserve">1 kredit odpovídá 25 až 30 hodinám práce studenta, v celé žádosti by se měla používat stejná hodnota (např. 26 hodin). </w:t>
      </w:r>
    </w:p>
    <w:p w14:paraId="6C11DA00" w14:textId="77777777" w:rsidR="00CB0274" w:rsidRDefault="00CB0274" w:rsidP="00CB0274">
      <w:pPr>
        <w:pStyle w:val="Textkomente"/>
      </w:pPr>
    </w:p>
    <w:p w14:paraId="03E53162" w14:textId="77777777" w:rsidR="00CB0274" w:rsidRDefault="00CB0274" w:rsidP="00CB0274">
      <w:pPr>
        <w:pStyle w:val="Textkomente"/>
      </w:pPr>
      <w:r>
        <w:t>Příklad – předmět má 4 kredity (tj. 104 hodin):</w:t>
      </w:r>
    </w:p>
    <w:p w14:paraId="0AA427FD" w14:textId="77777777" w:rsidR="00CB0274" w:rsidRDefault="00CB0274" w:rsidP="00CB0274">
      <w:pPr>
        <w:pStyle w:val="Textkomente"/>
      </w:pPr>
      <w:r>
        <w:t>přímá výuka (30 hodin), příprava seminární práce (30 hodin), příprava na závěrečnou zkoušku (44 hodin).</w:t>
      </w:r>
    </w:p>
  </w:comment>
  <w:comment w:id="17" w:author="Autor" w:initials="A">
    <w:p w14:paraId="506EA0E3" w14:textId="2644E306" w:rsidR="00642136" w:rsidRDefault="00642136">
      <w:pPr>
        <w:pStyle w:val="Textkomente"/>
      </w:pPr>
      <w:r>
        <w:rPr>
          <w:rStyle w:val="Odkaznakoment"/>
        </w:rPr>
        <w:annotationRef/>
      </w:r>
      <w:r>
        <w:t>Tato část se vyplní pouze v případě, že předmět má být realizován v kombinované nebo distanční formě studia.</w:t>
      </w:r>
    </w:p>
  </w:comment>
  <w:comment w:id="18" w:author="Autor" w:initials="A">
    <w:p w14:paraId="4963E9E9" w14:textId="18784BD1" w:rsidR="00642136" w:rsidRPr="00642136" w:rsidRDefault="00642136" w:rsidP="00642136">
      <w:pPr>
        <w:pStyle w:val="Textpoznpodarou"/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počet hodin za semestr. Případně se uvedou další způsoby výuky, které se uskutečňují za přítomnosti studenta.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99A95E" w15:done="0"/>
  <w15:commentEx w15:paraId="04AB4429" w15:done="0"/>
  <w15:commentEx w15:paraId="79C181DB" w15:done="0"/>
  <w15:commentEx w15:paraId="35C78704" w15:done="0"/>
  <w15:commentEx w15:paraId="0F0A4653" w15:done="0"/>
  <w15:commentEx w15:paraId="560E860F" w15:done="0"/>
  <w15:commentEx w15:paraId="7F994DE3" w15:done="0"/>
  <w15:commentEx w15:paraId="62110883" w15:done="0"/>
  <w15:commentEx w15:paraId="67335422" w15:done="0"/>
  <w15:commentEx w15:paraId="6CF9C97D" w15:done="0"/>
  <w15:commentEx w15:paraId="0DB6BB7C" w15:done="0"/>
  <w15:commentEx w15:paraId="017CF3F5" w15:done="0"/>
  <w15:commentEx w15:paraId="0AA427FD" w15:done="0"/>
  <w15:commentEx w15:paraId="506EA0E3" w15:done="0"/>
  <w15:commentEx w15:paraId="4963E9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99A95E" w16cid:durableId="29EDAEA0"/>
  <w16cid:commentId w16cid:paraId="04AB4429" w16cid:durableId="29EDAEBD"/>
  <w16cid:commentId w16cid:paraId="79C181DB" w16cid:durableId="29EDAF34"/>
  <w16cid:commentId w16cid:paraId="35C78704" w16cid:durableId="29EDAFAD"/>
  <w16cid:commentId w16cid:paraId="0F0A4653" w16cid:durableId="26AF3141"/>
  <w16cid:commentId w16cid:paraId="560E860F" w16cid:durableId="26AF3163"/>
  <w16cid:commentId w16cid:paraId="7F994DE3" w16cid:durableId="29EDBE2F"/>
  <w16cid:commentId w16cid:paraId="62110883" w16cid:durableId="29EDBE9A"/>
  <w16cid:commentId w16cid:paraId="67335422" w16cid:durableId="29EDBEB7"/>
  <w16cid:commentId w16cid:paraId="6CF9C97D" w16cid:durableId="29EDBECC"/>
  <w16cid:commentId w16cid:paraId="0DB6BB7C" w16cid:durableId="29EDBF02"/>
  <w16cid:commentId w16cid:paraId="017CF3F5" w16cid:durableId="29EDBF30"/>
  <w16cid:commentId w16cid:paraId="0AA427FD" w16cid:durableId="26AF3C1B"/>
  <w16cid:commentId w16cid:paraId="506EA0E3" w16cid:durableId="29EDC1EA"/>
  <w16cid:commentId w16cid:paraId="4963E9E9" w16cid:durableId="29EDC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84F"/>
    <w:multiLevelType w:val="hybridMultilevel"/>
    <w:tmpl w:val="6C52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343"/>
    <w:multiLevelType w:val="hybridMultilevel"/>
    <w:tmpl w:val="2B3CE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494417">
    <w:abstractNumId w:val="1"/>
  </w:num>
  <w:num w:numId="2" w16cid:durableId="717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66691"/>
    <w:rsid w:val="0008079D"/>
    <w:rsid w:val="00086A4B"/>
    <w:rsid w:val="00095901"/>
    <w:rsid w:val="000C1047"/>
    <w:rsid w:val="000E5E5E"/>
    <w:rsid w:val="000F3BE9"/>
    <w:rsid w:val="001502E3"/>
    <w:rsid w:val="00174EC9"/>
    <w:rsid w:val="00175912"/>
    <w:rsid w:val="00185FC3"/>
    <w:rsid w:val="0019487C"/>
    <w:rsid w:val="001B2D88"/>
    <w:rsid w:val="001F0F95"/>
    <w:rsid w:val="001F388B"/>
    <w:rsid w:val="001F3DAE"/>
    <w:rsid w:val="00242960"/>
    <w:rsid w:val="00260BA2"/>
    <w:rsid w:val="00265B8E"/>
    <w:rsid w:val="00270592"/>
    <w:rsid w:val="00282F7D"/>
    <w:rsid w:val="002C44AC"/>
    <w:rsid w:val="00301436"/>
    <w:rsid w:val="00312D69"/>
    <w:rsid w:val="00381B2D"/>
    <w:rsid w:val="00385685"/>
    <w:rsid w:val="00406792"/>
    <w:rsid w:val="00414780"/>
    <w:rsid w:val="004506F8"/>
    <w:rsid w:val="00480C03"/>
    <w:rsid w:val="0048513A"/>
    <w:rsid w:val="00486CE9"/>
    <w:rsid w:val="0054744C"/>
    <w:rsid w:val="0056157E"/>
    <w:rsid w:val="00576F8B"/>
    <w:rsid w:val="005A0406"/>
    <w:rsid w:val="005A29E7"/>
    <w:rsid w:val="005E0BA5"/>
    <w:rsid w:val="005E242A"/>
    <w:rsid w:val="005E4874"/>
    <w:rsid w:val="005F3F2F"/>
    <w:rsid w:val="005F401C"/>
    <w:rsid w:val="005F4E73"/>
    <w:rsid w:val="0061216F"/>
    <w:rsid w:val="00642136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81711C"/>
    <w:rsid w:val="008B7CFE"/>
    <w:rsid w:val="00916478"/>
    <w:rsid w:val="00934E53"/>
    <w:rsid w:val="0096478F"/>
    <w:rsid w:val="009F6AE9"/>
    <w:rsid w:val="00A1623F"/>
    <w:rsid w:val="00A271C7"/>
    <w:rsid w:val="00A37D50"/>
    <w:rsid w:val="00A73B3B"/>
    <w:rsid w:val="00A94A2F"/>
    <w:rsid w:val="00A952B2"/>
    <w:rsid w:val="00AC1890"/>
    <w:rsid w:val="00AF589C"/>
    <w:rsid w:val="00B01B0A"/>
    <w:rsid w:val="00B4114C"/>
    <w:rsid w:val="00B971E9"/>
    <w:rsid w:val="00BA3A8B"/>
    <w:rsid w:val="00BC2035"/>
    <w:rsid w:val="00C623F9"/>
    <w:rsid w:val="00C70EFA"/>
    <w:rsid w:val="00CB0274"/>
    <w:rsid w:val="00CC5321"/>
    <w:rsid w:val="00D175E9"/>
    <w:rsid w:val="00D5241A"/>
    <w:rsid w:val="00D61DF4"/>
    <w:rsid w:val="00D819DA"/>
    <w:rsid w:val="00DD5A39"/>
    <w:rsid w:val="00E67FB9"/>
    <w:rsid w:val="00E76F21"/>
    <w:rsid w:val="00E9676A"/>
    <w:rsid w:val="00EB55A5"/>
    <w:rsid w:val="00EC3694"/>
    <w:rsid w:val="00EC47A4"/>
    <w:rsid w:val="00ED322D"/>
    <w:rsid w:val="00F022CE"/>
    <w:rsid w:val="00F074B5"/>
    <w:rsid w:val="00F20A08"/>
    <w:rsid w:val="00F30FC4"/>
    <w:rsid w:val="00F356C7"/>
    <w:rsid w:val="00F4441E"/>
    <w:rsid w:val="00FB601A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12C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E9676A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9676A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nhideWhenUsed/>
    <w:rsid w:val="00E9676A"/>
    <w:rPr>
      <w:color w:val="0000FF"/>
      <w:u w:val="single"/>
    </w:rPr>
  </w:style>
  <w:style w:type="character" w:styleId="Znakapoznpodarou">
    <w:name w:val="footnote reference"/>
    <w:semiHidden/>
    <w:rsid w:val="00BA3A8B"/>
    <w:rPr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CB0274"/>
    <w:pPr>
      <w:ind w:left="720"/>
      <w:contextualSpacing/>
    </w:pPr>
  </w:style>
  <w:style w:type="paragraph" w:styleId="Zkladntext">
    <w:name w:val="Body Text"/>
    <w:basedOn w:val="Normln"/>
    <w:link w:val="ZkladntextChar"/>
    <w:rsid w:val="00642136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642136"/>
    <w:rPr>
      <w:rFonts w:ascii="Times New Roman" w:eastAsia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4A2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auvs.cz/attachments/article/4/Narizeni_vlady_c_275_2016.pdf" TargetMode="External"/><Relationship Id="rId1" Type="http://schemas.openxmlformats.org/officeDocument/2006/relationships/hyperlink" Target="https://uok.msmt.cz/uok/ru_list.ph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auvs.cz/index.php/cs/metodiky/172-metodicky-pokyn-nau-k-vyuzivani-prvku-distancniho-vzdelavani-v-prezencni-forme-stud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se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vysoke-skolstvi/ramec-kvalifikaci-vysokoskolskeho-vzdelavani-ceske-republi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76E4-7D6F-4FD7-9E81-83BE0256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8170</Characters>
  <Application>Microsoft Office Word</Application>
  <DocSecurity>0</DocSecurity>
  <Lines>68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2024-05-23T13:06:00Z</dcterms:created>
  <dcterms:modified xsi:type="dcterms:W3CDTF">2025-11-24T14:15:00Z</dcterms:modified>
</cp:coreProperties>
</file>