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8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10"/>
        <w:gridCol w:w="5775"/>
      </w:tblGrid>
      <w:tr w:rsidR="007D04B6" w:rsidTr="00B8117C">
        <w:tc>
          <w:tcPr>
            <w:tcW w:w="9285" w:type="dxa"/>
            <w:gridSpan w:val="2"/>
            <w:tcBorders>
              <w:bottom w:val="double" w:sz="4" w:space="0" w:color="auto"/>
            </w:tcBorders>
            <w:shd w:val="clear" w:color="auto" w:fill="B4C6E7" w:themeFill="accent1" w:themeFillTint="66"/>
          </w:tcPr>
          <w:p w:rsidR="007D04B6" w:rsidRDefault="007D04B6" w:rsidP="00B8117C">
            <w:pPr>
              <w:jc w:val="both"/>
              <w:rPr>
                <w:b/>
                <w:sz w:val="28"/>
              </w:rPr>
            </w:pPr>
            <w:r>
              <w:rPr>
                <w:b/>
                <w:sz w:val="28"/>
              </w:rPr>
              <w:t>B-IIb – Studijní plány a návrh témat prací (doktorské studijní programy)</w:t>
            </w:r>
          </w:p>
        </w:tc>
      </w:tr>
      <w:tr w:rsidR="007D04B6" w:rsidTr="00B8117C">
        <w:tc>
          <w:tcPr>
            <w:tcW w:w="3510" w:type="dxa"/>
            <w:shd w:val="clear" w:color="auto" w:fill="F7CAAC" w:themeFill="accent2" w:themeFillTint="66"/>
          </w:tcPr>
          <w:p w:rsidR="007D04B6" w:rsidRDefault="007D04B6" w:rsidP="00B8117C">
            <w:pPr>
              <w:jc w:val="both"/>
              <w:rPr>
                <w:b/>
              </w:rPr>
            </w:pPr>
            <w:r>
              <w:rPr>
                <w:b/>
              </w:rPr>
              <w:t>Studijní povinnosti</w:t>
            </w:r>
          </w:p>
        </w:tc>
        <w:tc>
          <w:tcPr>
            <w:tcW w:w="5775" w:type="dxa"/>
            <w:tcBorders>
              <w:bottom w:val="nil"/>
            </w:tcBorders>
          </w:tcPr>
          <w:p w:rsidR="007D04B6" w:rsidRDefault="007D04B6" w:rsidP="00B8117C">
            <w:pPr>
              <w:jc w:val="both"/>
            </w:pPr>
          </w:p>
        </w:tc>
      </w:tr>
      <w:tr w:rsidR="007D04B6" w:rsidTr="00B8117C">
        <w:trPr>
          <w:trHeight w:val="1950"/>
        </w:trPr>
        <w:tc>
          <w:tcPr>
            <w:tcW w:w="9285" w:type="dxa"/>
            <w:gridSpan w:val="2"/>
            <w:tcBorders>
              <w:top w:val="nil"/>
            </w:tcBorders>
          </w:tcPr>
          <w:p w:rsidR="007D04B6" w:rsidRDefault="007D04B6" w:rsidP="00B8117C">
            <w:pPr>
              <w:spacing w:line="259" w:lineRule="auto"/>
              <w:jc w:val="both"/>
              <w:rPr>
                <w:sz w:val="24"/>
                <w:szCs w:val="24"/>
                <w:highlight w:val="cyan"/>
              </w:rPr>
            </w:pPr>
          </w:p>
          <w:p w:rsidR="007D04B6" w:rsidRPr="00C54F02" w:rsidRDefault="007D04B6" w:rsidP="00B8117C">
            <w:pPr>
              <w:rPr>
                <w:sz w:val="24"/>
                <w:szCs w:val="24"/>
              </w:rPr>
            </w:pPr>
          </w:p>
          <w:p w:rsidR="007D04B6" w:rsidRPr="00C54F02" w:rsidRDefault="007D04B6" w:rsidP="00B8117C">
            <w:pPr>
              <w:jc w:val="both"/>
              <w:rPr>
                <w:sz w:val="24"/>
                <w:szCs w:val="24"/>
              </w:rPr>
            </w:pPr>
            <w:r w:rsidRPr="00C54F02">
              <w:rPr>
                <w:sz w:val="24"/>
                <w:szCs w:val="24"/>
              </w:rPr>
              <w:t xml:space="preserve">Předměty studijního plánu se člení na povinné (základní doktorské semináře, semináře k psaní dizertační práce a atestace z jazyků) a povinně-volitelné. Základní doktorský seminář je považován za základní teoretický předmět profilujícího základu. Látka zde probíraná je ověřována u státní doktorské zkoušky. </w:t>
            </w:r>
          </w:p>
          <w:p w:rsidR="007D04B6" w:rsidRPr="006E2324" w:rsidRDefault="007D04B6" w:rsidP="00B8117C">
            <w:pPr>
              <w:jc w:val="both"/>
              <w:rPr>
                <w:sz w:val="24"/>
                <w:szCs w:val="24"/>
              </w:rPr>
            </w:pPr>
            <w:r w:rsidRPr="00C54F02">
              <w:rPr>
                <w:sz w:val="24"/>
                <w:szCs w:val="24"/>
              </w:rPr>
              <w:t>Povinně-volitelné doktorské semináře nabízejí rozvinutí odborné specializace doktoranda s ohledem na zaměření dizertační práce a s přihlédnutím k odborným kompetencím získaným v předcházejícím magisterském studiu. Volbu povinně-volitelného doktorského semináře student konzultuje se školitelem a oborovou radou.</w:t>
            </w:r>
          </w:p>
          <w:p w:rsidR="007D04B6" w:rsidRDefault="007D04B6" w:rsidP="00B8117C">
            <w:pPr>
              <w:jc w:val="both"/>
              <w:rPr>
                <w:sz w:val="24"/>
                <w:szCs w:val="24"/>
              </w:rPr>
            </w:pPr>
          </w:p>
          <w:p w:rsidR="007D04B6" w:rsidRPr="00D044E2" w:rsidRDefault="007D04B6" w:rsidP="00B8117C">
            <w:pPr>
              <w:jc w:val="both"/>
              <w:rPr>
                <w:b/>
                <w:sz w:val="24"/>
                <w:szCs w:val="24"/>
                <w:u w:val="single"/>
              </w:rPr>
            </w:pPr>
            <w:r>
              <w:rPr>
                <w:b/>
                <w:sz w:val="24"/>
                <w:szCs w:val="24"/>
                <w:u w:val="single"/>
              </w:rPr>
              <w:t>Povinné předměty</w:t>
            </w:r>
          </w:p>
          <w:p w:rsidR="007D04B6" w:rsidRDefault="007D04B6" w:rsidP="00B8117C">
            <w:pPr>
              <w:spacing w:line="259" w:lineRule="auto"/>
              <w:jc w:val="both"/>
              <w:rPr>
                <w:sz w:val="24"/>
                <w:szCs w:val="24"/>
                <w:highlight w:val="cyan"/>
              </w:rPr>
            </w:pPr>
          </w:p>
          <w:p w:rsidR="007D04B6" w:rsidRDefault="007D04B6" w:rsidP="00B8117C">
            <w:pPr>
              <w:jc w:val="both"/>
              <w:rPr>
                <w:b/>
                <w:bCs/>
                <w:sz w:val="24"/>
                <w:szCs w:val="24"/>
              </w:rPr>
            </w:pPr>
            <w:r w:rsidRPr="3C03283E">
              <w:rPr>
                <w:b/>
                <w:bCs/>
                <w:sz w:val="24"/>
                <w:szCs w:val="24"/>
              </w:rPr>
              <w:t>A. Základní doktorské semináře</w:t>
            </w:r>
            <w:r>
              <w:rPr>
                <w:b/>
                <w:bCs/>
                <w:sz w:val="24"/>
                <w:szCs w:val="24"/>
              </w:rPr>
              <w:t xml:space="preserve"> </w:t>
            </w:r>
          </w:p>
          <w:p w:rsidR="007D04B6" w:rsidRDefault="007D04B6" w:rsidP="00B8117C">
            <w:pPr>
              <w:jc w:val="both"/>
              <w:rPr>
                <w:sz w:val="24"/>
                <w:szCs w:val="24"/>
              </w:rPr>
            </w:pPr>
            <w:r w:rsidRPr="6C1FC44E">
              <w:rPr>
                <w:sz w:val="24"/>
                <w:szCs w:val="24"/>
              </w:rPr>
              <w:t>Základní seminář sleduje hlavní cíl a oborové zaměření studijního programu. Skládá se ze 7 částí, které ve filosoficko-teologické perspektivě reflektují polaritu obecného a konkrétního rozměru porozumění lidské skutečnosti. První 4 díly semináře akcentují především obecná východiska tohoto poznání v oblastech filosofické a teologické antropologie, filosofie kultury, filosofie dějin a filosofie a teologie náboženství. Závěrečné 3 díly semináře jsou věnovány důrazu na konkrétní</w:t>
            </w:r>
            <w:r>
              <w:rPr>
                <w:sz w:val="24"/>
                <w:szCs w:val="24"/>
              </w:rPr>
              <w:t xml:space="preserve"> </w:t>
            </w:r>
            <w:r w:rsidRPr="6C1FC44E">
              <w:rPr>
                <w:sz w:val="24"/>
                <w:szCs w:val="24"/>
              </w:rPr>
              <w:t>a praktické aspekty v oblastech historické religionistiky, filosofie výchovy a etiky a interpretace uměleckého díla ve filosofické a teologické perspektivě.</w:t>
            </w:r>
          </w:p>
          <w:p w:rsidR="007D04B6" w:rsidRDefault="007D04B6" w:rsidP="00B8117C">
            <w:pPr>
              <w:jc w:val="both"/>
            </w:pPr>
          </w:p>
          <w:p w:rsidR="007D04B6" w:rsidRDefault="007D04B6" w:rsidP="00B8117C">
            <w:pPr>
              <w:jc w:val="both"/>
              <w:rPr>
                <w:sz w:val="24"/>
                <w:szCs w:val="24"/>
              </w:rPr>
            </w:pPr>
            <w:r w:rsidRPr="6C1FC44E">
              <w:rPr>
                <w:sz w:val="24"/>
                <w:szCs w:val="24"/>
              </w:rPr>
              <w:t xml:space="preserve">Struktura základních doktorských seminářů má vytvářet vhodnou oporu pro zpracování dizertační projektů od obecných rámců ke konkrétním postupům využívaným při práci na dizertaci. Pořadí jednotlivých seminářů si student volí na základě individuálního studijního plánu, doporučené pořadí je uvedené v následujícím přehledu. </w:t>
            </w:r>
          </w:p>
          <w:p w:rsidR="007D04B6" w:rsidRDefault="007D04B6" w:rsidP="00B8117C">
            <w:pPr>
              <w:jc w:val="both"/>
              <w:rPr>
                <w:sz w:val="24"/>
                <w:szCs w:val="24"/>
              </w:rPr>
            </w:pPr>
          </w:p>
          <w:p w:rsidR="007D04B6" w:rsidRPr="00397076" w:rsidRDefault="007D04B6" w:rsidP="00B8117C">
            <w:pPr>
              <w:jc w:val="both"/>
              <w:rPr>
                <w:b/>
                <w:bCs/>
              </w:rPr>
            </w:pPr>
          </w:p>
          <w:p w:rsidR="007D04B6" w:rsidRDefault="007D04B6" w:rsidP="00B8117C">
            <w:pPr>
              <w:pStyle w:val="Odstavecseseznamem"/>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semestr</w:t>
            </w:r>
          </w:p>
          <w:p w:rsidR="007D04B6" w:rsidRDefault="007D04B6" w:rsidP="007D04B6">
            <w:pPr>
              <w:pStyle w:val="Odstavecseseznamem"/>
              <w:numPr>
                <w:ilvl w:val="0"/>
                <w:numId w:val="5"/>
              </w:numPr>
              <w:jc w:val="both"/>
              <w:rPr>
                <w:rFonts w:ascii="Times New Roman" w:eastAsia="Times New Roman" w:hAnsi="Times New Roman" w:cs="Times New Roman"/>
                <w:sz w:val="24"/>
                <w:szCs w:val="24"/>
              </w:rPr>
            </w:pPr>
            <w:r w:rsidRPr="6C1FC44E">
              <w:rPr>
                <w:rFonts w:ascii="Times New Roman" w:eastAsia="Times New Roman" w:hAnsi="Times New Roman" w:cs="Times New Roman"/>
                <w:sz w:val="24"/>
                <w:szCs w:val="24"/>
              </w:rPr>
              <w:t xml:space="preserve">Vybrané kapitoly filosofické a teologické antropologie </w:t>
            </w:r>
            <w:r>
              <w:rPr>
                <w:rFonts w:ascii="Times New Roman" w:eastAsia="Times New Roman" w:hAnsi="Times New Roman" w:cs="Times New Roman"/>
                <w:sz w:val="24"/>
                <w:szCs w:val="24"/>
              </w:rPr>
              <w:t xml:space="preserve">   </w:t>
            </w:r>
            <w:r w:rsidRPr="6C1FC44E">
              <w:rPr>
                <w:rFonts w:ascii="Times New Roman" w:eastAsia="Times New Roman" w:hAnsi="Times New Roman" w:cs="Times New Roman"/>
                <w:sz w:val="24"/>
                <w:szCs w:val="24"/>
              </w:rPr>
              <w:t xml:space="preserve"> - 10 kreditů, </w:t>
            </w:r>
            <w:proofErr w:type="gramStart"/>
            <w:r w:rsidRPr="6C1FC44E">
              <w:rPr>
                <w:rFonts w:ascii="Times New Roman" w:eastAsia="Times New Roman" w:hAnsi="Times New Roman" w:cs="Times New Roman"/>
                <w:sz w:val="24"/>
                <w:szCs w:val="24"/>
              </w:rPr>
              <w:t>13s</w:t>
            </w:r>
            <w:proofErr w:type="gramEnd"/>
            <w:r w:rsidRPr="6C1FC44E">
              <w:rPr>
                <w:rFonts w:ascii="Times New Roman" w:eastAsia="Times New Roman" w:hAnsi="Times New Roman" w:cs="Times New Roman"/>
                <w:sz w:val="24"/>
                <w:szCs w:val="24"/>
              </w:rPr>
              <w:t>/sem.</w:t>
            </w:r>
          </w:p>
          <w:p w:rsidR="007D04B6" w:rsidRPr="00BB2A17" w:rsidRDefault="007D04B6" w:rsidP="00B8117C">
            <w:pPr>
              <w:pStyle w:val="Odstavecseseznamem"/>
              <w:jc w:val="both"/>
              <w:rPr>
                <w:rFonts w:ascii="Times New Roman" w:hAnsi="Times New Roman" w:cs="Times New Roman"/>
                <w:sz w:val="24"/>
                <w:szCs w:val="24"/>
              </w:rPr>
            </w:pPr>
            <w:r w:rsidRPr="00BB2A17">
              <w:rPr>
                <w:rFonts w:ascii="Times New Roman" w:eastAsia="Times New Roman" w:hAnsi="Times New Roman" w:cs="Times New Roman"/>
                <w:sz w:val="24"/>
                <w:szCs w:val="24"/>
              </w:rPr>
              <w:t xml:space="preserve">Garant: </w:t>
            </w:r>
            <w:r w:rsidRPr="00BB2A17">
              <w:rPr>
                <w:rFonts w:ascii="Times New Roman" w:hAnsi="Times New Roman" w:cs="Times New Roman"/>
                <w:sz w:val="24"/>
                <w:szCs w:val="24"/>
              </w:rPr>
              <w:t xml:space="preserve">doc. Mgr. Jan Hojda, Th.D. </w:t>
            </w:r>
          </w:p>
          <w:p w:rsidR="007D04B6" w:rsidRDefault="007D04B6" w:rsidP="00B8117C">
            <w:pPr>
              <w:pStyle w:val="Odstavecseseznamem"/>
              <w:jc w:val="both"/>
              <w:rPr>
                <w:rFonts w:ascii="Times New Roman" w:hAnsi="Times New Roman" w:cs="Times New Roman"/>
                <w:sz w:val="24"/>
                <w:szCs w:val="24"/>
              </w:rPr>
            </w:pPr>
            <w:r w:rsidRPr="6C1FC44E">
              <w:rPr>
                <w:rFonts w:ascii="Times New Roman" w:hAnsi="Times New Roman" w:cs="Times New Roman"/>
                <w:sz w:val="24"/>
                <w:szCs w:val="24"/>
              </w:rPr>
              <w:t>Vyučující: doc. Mgr. Jan Hojda, Th.D. (</w:t>
            </w:r>
            <w:proofErr w:type="gramStart"/>
            <w:r w:rsidRPr="6C1FC44E">
              <w:rPr>
                <w:rFonts w:ascii="Times New Roman" w:hAnsi="Times New Roman" w:cs="Times New Roman"/>
                <w:sz w:val="24"/>
                <w:szCs w:val="24"/>
              </w:rPr>
              <w:t>67%</w:t>
            </w:r>
            <w:proofErr w:type="gramEnd"/>
            <w:r w:rsidRPr="6C1FC44E">
              <w:rPr>
                <w:rFonts w:ascii="Times New Roman" w:hAnsi="Times New Roman" w:cs="Times New Roman"/>
                <w:sz w:val="24"/>
                <w:szCs w:val="24"/>
              </w:rPr>
              <w:t>), Mgr. Petr Macek, Ph.D. (33%)</w:t>
            </w:r>
          </w:p>
          <w:p w:rsidR="007D04B6" w:rsidRDefault="007D04B6" w:rsidP="00B8117C">
            <w:pPr>
              <w:pStyle w:val="Odstavecseseznamem"/>
              <w:jc w:val="both"/>
              <w:rPr>
                <w:rFonts w:ascii="Times New Roman" w:hAnsi="Times New Roman" w:cs="Times New Roman"/>
              </w:rPr>
            </w:pPr>
          </w:p>
          <w:p w:rsidR="007D04B6" w:rsidRDefault="007D04B6" w:rsidP="007D04B6">
            <w:pPr>
              <w:pStyle w:val="Odstavecseseznamem"/>
              <w:numPr>
                <w:ilvl w:val="0"/>
                <w:numId w:val="3"/>
              </w:numPr>
              <w:jc w:val="both"/>
              <w:rPr>
                <w:rFonts w:eastAsiaTheme="minorEastAsia"/>
                <w:sz w:val="24"/>
                <w:szCs w:val="24"/>
              </w:rPr>
            </w:pPr>
            <w:r w:rsidRPr="6C1FC44E">
              <w:rPr>
                <w:rFonts w:ascii="Times New Roman" w:eastAsia="Times New Roman" w:hAnsi="Times New Roman" w:cs="Times New Roman"/>
                <w:sz w:val="24"/>
                <w:szCs w:val="24"/>
              </w:rPr>
              <w:t xml:space="preserve">Vybrané kapitoly filosofie kultury                                      - 10 kreditů, </w:t>
            </w:r>
            <w:proofErr w:type="gramStart"/>
            <w:r w:rsidRPr="6C1FC44E">
              <w:rPr>
                <w:rFonts w:ascii="Times New Roman" w:eastAsia="Times New Roman" w:hAnsi="Times New Roman" w:cs="Times New Roman"/>
                <w:sz w:val="24"/>
                <w:szCs w:val="24"/>
              </w:rPr>
              <w:t>13s</w:t>
            </w:r>
            <w:proofErr w:type="gramEnd"/>
            <w:r w:rsidRPr="6C1FC44E">
              <w:rPr>
                <w:rFonts w:ascii="Times New Roman" w:eastAsia="Times New Roman" w:hAnsi="Times New Roman" w:cs="Times New Roman"/>
                <w:sz w:val="24"/>
                <w:szCs w:val="24"/>
              </w:rPr>
              <w:t>/sem.</w:t>
            </w:r>
          </w:p>
          <w:p w:rsidR="007D04B6" w:rsidRDefault="007D04B6" w:rsidP="00B8117C">
            <w:pPr>
              <w:ind w:left="708"/>
              <w:jc w:val="both"/>
            </w:pPr>
            <w:r w:rsidRPr="6C1FC44E">
              <w:rPr>
                <w:sz w:val="24"/>
                <w:szCs w:val="24"/>
              </w:rPr>
              <w:t xml:space="preserve">Garant: doc. Mgr. Martin Paleček, Ph.D.    </w:t>
            </w:r>
          </w:p>
          <w:p w:rsidR="007D04B6" w:rsidRDefault="007D04B6" w:rsidP="00B8117C">
            <w:pPr>
              <w:ind w:left="708"/>
              <w:jc w:val="both"/>
              <w:rPr>
                <w:sz w:val="24"/>
                <w:szCs w:val="24"/>
              </w:rPr>
            </w:pPr>
            <w:r w:rsidRPr="6C1FC44E">
              <w:rPr>
                <w:sz w:val="24"/>
                <w:szCs w:val="24"/>
              </w:rPr>
              <w:t>Vyučující: doc. Mgr. Martin Paleček, Ph.D.</w:t>
            </w:r>
          </w:p>
          <w:p w:rsidR="007D04B6" w:rsidRDefault="007D04B6" w:rsidP="00B8117C">
            <w:pPr>
              <w:jc w:val="both"/>
            </w:pPr>
          </w:p>
          <w:p w:rsidR="007D04B6" w:rsidRDefault="007D04B6" w:rsidP="00B8117C">
            <w:pPr>
              <w:pStyle w:val="Odstavecseseznamem"/>
              <w:jc w:val="both"/>
              <w:rPr>
                <w:rFonts w:ascii="Times New Roman" w:hAnsi="Times New Roman" w:cs="Times New Roman"/>
                <w:sz w:val="24"/>
                <w:szCs w:val="24"/>
              </w:rPr>
            </w:pPr>
          </w:p>
          <w:p w:rsidR="007D04B6" w:rsidRPr="00397076" w:rsidRDefault="007D04B6" w:rsidP="00B8117C">
            <w:pPr>
              <w:pStyle w:val="Odstavecseseznamem"/>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semestr</w:t>
            </w:r>
          </w:p>
          <w:p w:rsidR="007D04B6" w:rsidRDefault="007D04B6" w:rsidP="007D04B6">
            <w:pPr>
              <w:pStyle w:val="Odstavecseseznamem"/>
              <w:numPr>
                <w:ilvl w:val="0"/>
                <w:numId w:val="5"/>
              </w:numPr>
              <w:jc w:val="both"/>
              <w:rPr>
                <w:rFonts w:ascii="Times New Roman" w:eastAsia="Times New Roman" w:hAnsi="Times New Roman" w:cs="Times New Roman"/>
                <w:sz w:val="24"/>
                <w:szCs w:val="24"/>
              </w:rPr>
            </w:pPr>
            <w:r w:rsidRPr="3C03283E">
              <w:rPr>
                <w:rFonts w:ascii="Times New Roman" w:eastAsia="Times New Roman" w:hAnsi="Times New Roman" w:cs="Times New Roman"/>
                <w:sz w:val="24"/>
                <w:szCs w:val="24"/>
              </w:rPr>
              <w:t>Filosofie dějin</w:t>
            </w:r>
            <w:r>
              <w:rPr>
                <w:rFonts w:ascii="Times New Roman" w:eastAsia="Times New Roman" w:hAnsi="Times New Roman" w:cs="Times New Roman"/>
                <w:sz w:val="24"/>
                <w:szCs w:val="24"/>
              </w:rPr>
              <w:t xml:space="preserve">                                                                   - 10 kreditů, </w:t>
            </w:r>
            <w:proofErr w:type="gramStart"/>
            <w:r>
              <w:rPr>
                <w:rFonts w:ascii="Times New Roman" w:eastAsia="Times New Roman" w:hAnsi="Times New Roman" w:cs="Times New Roman"/>
                <w:sz w:val="24"/>
                <w:szCs w:val="24"/>
              </w:rPr>
              <w:t>13s</w:t>
            </w:r>
            <w:proofErr w:type="gramEnd"/>
            <w:r>
              <w:rPr>
                <w:rFonts w:ascii="Times New Roman" w:eastAsia="Times New Roman" w:hAnsi="Times New Roman" w:cs="Times New Roman"/>
                <w:sz w:val="24"/>
                <w:szCs w:val="24"/>
              </w:rPr>
              <w:t>/sem.</w:t>
            </w:r>
          </w:p>
          <w:p w:rsidR="007D04B6" w:rsidRPr="00BB2A17" w:rsidRDefault="007D04B6" w:rsidP="00B8117C">
            <w:pPr>
              <w:pStyle w:val="Odstavecseseznamem"/>
              <w:jc w:val="both"/>
              <w:rPr>
                <w:rFonts w:ascii="Times New Roman" w:hAnsi="Times New Roman" w:cs="Times New Roman"/>
                <w:sz w:val="24"/>
                <w:szCs w:val="24"/>
              </w:rPr>
            </w:pPr>
            <w:r w:rsidRPr="00BB2A17">
              <w:rPr>
                <w:rFonts w:ascii="Times New Roman" w:eastAsia="Times New Roman" w:hAnsi="Times New Roman" w:cs="Times New Roman"/>
                <w:sz w:val="24"/>
                <w:szCs w:val="24"/>
              </w:rPr>
              <w:t>Garant:</w:t>
            </w:r>
            <w:r>
              <w:rPr>
                <w:rFonts w:ascii="Times New Roman" w:eastAsia="Times New Roman" w:hAnsi="Times New Roman" w:cs="Times New Roman"/>
                <w:sz w:val="24"/>
                <w:szCs w:val="24"/>
              </w:rPr>
              <w:t xml:space="preserve"> </w:t>
            </w:r>
            <w:r>
              <w:rPr>
                <w:rFonts w:ascii="Times New Roman" w:hAnsi="Times New Roman" w:cs="Times New Roman"/>
                <w:sz w:val="24"/>
                <w:szCs w:val="24"/>
              </w:rPr>
              <w:t>prof.</w:t>
            </w:r>
            <w:r w:rsidRPr="00CF6B0C">
              <w:rPr>
                <w:rFonts w:ascii="Times New Roman" w:hAnsi="Times New Roman" w:cs="Times New Roman"/>
                <w:sz w:val="24"/>
                <w:szCs w:val="24"/>
              </w:rPr>
              <w:t xml:space="preserve"> PhDr. Tomáš Petráček, Ph.D., Th.D. </w:t>
            </w:r>
            <w:r w:rsidRPr="00BB2A17">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w:t>
            </w:r>
            <w:r w:rsidRPr="00BB2A17">
              <w:rPr>
                <w:rFonts w:ascii="Times New Roman" w:hAnsi="Times New Roman" w:cs="Times New Roman"/>
                <w:sz w:val="24"/>
                <w:szCs w:val="24"/>
              </w:rPr>
              <w:t xml:space="preserve"> </w:t>
            </w:r>
          </w:p>
          <w:p w:rsidR="007D04B6" w:rsidRDefault="007D04B6" w:rsidP="00B8117C">
            <w:pPr>
              <w:pStyle w:val="Odstavecseseznamem"/>
              <w:jc w:val="both"/>
              <w:rPr>
                <w:rFonts w:ascii="Times New Roman" w:hAnsi="Times New Roman" w:cs="Times New Roman"/>
                <w:sz w:val="24"/>
                <w:szCs w:val="24"/>
              </w:rPr>
            </w:pPr>
            <w:r w:rsidRPr="6C1FC44E">
              <w:rPr>
                <w:rFonts w:ascii="Times New Roman" w:hAnsi="Times New Roman" w:cs="Times New Roman"/>
                <w:sz w:val="24"/>
                <w:szCs w:val="24"/>
              </w:rPr>
              <w:t>Vyučující: prof. PhDr. Tomáš Petráček, Ph.D., Th.D.</w:t>
            </w:r>
          </w:p>
          <w:p w:rsidR="007D04B6" w:rsidRDefault="007D04B6" w:rsidP="00B8117C">
            <w:pPr>
              <w:pStyle w:val="Odstavecseseznamem"/>
              <w:ind w:left="708"/>
              <w:jc w:val="both"/>
              <w:rPr>
                <w:rFonts w:ascii="Times New Roman" w:hAnsi="Times New Roman" w:cs="Times New Roman"/>
              </w:rPr>
            </w:pPr>
          </w:p>
          <w:p w:rsidR="007D04B6" w:rsidRDefault="007D04B6" w:rsidP="007D04B6">
            <w:pPr>
              <w:pStyle w:val="Odstavecseseznamem"/>
              <w:numPr>
                <w:ilvl w:val="0"/>
                <w:numId w:val="2"/>
              </w:numPr>
              <w:jc w:val="both"/>
              <w:rPr>
                <w:rFonts w:eastAsiaTheme="minorEastAsia"/>
                <w:sz w:val="24"/>
                <w:szCs w:val="24"/>
              </w:rPr>
            </w:pPr>
            <w:r w:rsidRPr="6C1FC44E">
              <w:rPr>
                <w:rFonts w:ascii="Times New Roman" w:eastAsia="Times New Roman" w:hAnsi="Times New Roman" w:cs="Times New Roman"/>
                <w:sz w:val="24"/>
                <w:szCs w:val="24"/>
              </w:rPr>
              <w:t xml:space="preserve">Filosofie a teologie náboženství                                       - 10 kreditů, </w:t>
            </w:r>
            <w:proofErr w:type="gramStart"/>
            <w:r w:rsidRPr="6C1FC44E">
              <w:rPr>
                <w:rFonts w:ascii="Times New Roman" w:eastAsia="Times New Roman" w:hAnsi="Times New Roman" w:cs="Times New Roman"/>
                <w:sz w:val="24"/>
                <w:szCs w:val="24"/>
              </w:rPr>
              <w:t>6s</w:t>
            </w:r>
            <w:proofErr w:type="gramEnd"/>
            <w:r w:rsidRPr="6C1FC44E">
              <w:rPr>
                <w:rFonts w:ascii="Times New Roman" w:eastAsia="Times New Roman" w:hAnsi="Times New Roman" w:cs="Times New Roman"/>
                <w:sz w:val="24"/>
                <w:szCs w:val="24"/>
              </w:rPr>
              <w:t>/sem.</w:t>
            </w:r>
          </w:p>
          <w:p w:rsidR="007D04B6" w:rsidRDefault="007D04B6" w:rsidP="00B8117C">
            <w:pPr>
              <w:ind w:left="708"/>
              <w:jc w:val="both"/>
              <w:rPr>
                <w:sz w:val="24"/>
                <w:szCs w:val="24"/>
              </w:rPr>
            </w:pPr>
            <w:r w:rsidRPr="6C1FC44E">
              <w:rPr>
                <w:sz w:val="24"/>
                <w:szCs w:val="24"/>
              </w:rPr>
              <w:t>Garant: doc. Mgr. David Bouma, Ph.D.</w:t>
            </w:r>
          </w:p>
          <w:p w:rsidR="007D04B6" w:rsidRDefault="007D04B6" w:rsidP="00B8117C">
            <w:pPr>
              <w:ind w:left="708"/>
              <w:jc w:val="both"/>
              <w:rPr>
                <w:sz w:val="24"/>
                <w:szCs w:val="24"/>
              </w:rPr>
            </w:pPr>
            <w:r w:rsidRPr="6C1FC44E">
              <w:rPr>
                <w:sz w:val="24"/>
                <w:szCs w:val="24"/>
              </w:rPr>
              <w:lastRenderedPageBreak/>
              <w:t>Vyučující: doc. Mgr. David Bouma, Ph.D.</w:t>
            </w:r>
          </w:p>
          <w:p w:rsidR="007D04B6" w:rsidRDefault="007D04B6" w:rsidP="00B8117C">
            <w:pPr>
              <w:pStyle w:val="Odstavecseseznamem"/>
              <w:jc w:val="both"/>
              <w:rPr>
                <w:rFonts w:ascii="Times New Roman" w:hAnsi="Times New Roman" w:cs="Times New Roman"/>
                <w:sz w:val="24"/>
                <w:szCs w:val="24"/>
              </w:rPr>
            </w:pPr>
          </w:p>
          <w:p w:rsidR="007D04B6" w:rsidRPr="00397076" w:rsidRDefault="007D04B6" w:rsidP="00B8117C">
            <w:pPr>
              <w:pStyle w:val="Odstavecseseznamem"/>
              <w:spacing w:after="0"/>
              <w:jc w:val="both"/>
              <w:rPr>
                <w:rFonts w:ascii="Times New Roman" w:eastAsia="Times New Roman" w:hAnsi="Times New Roman" w:cs="Times New Roman"/>
                <w:b/>
                <w:bCs/>
                <w:sz w:val="24"/>
                <w:szCs w:val="24"/>
              </w:rPr>
            </w:pPr>
            <w:r w:rsidRPr="6C1FC44E">
              <w:rPr>
                <w:rFonts w:ascii="Times New Roman" w:eastAsia="Times New Roman" w:hAnsi="Times New Roman" w:cs="Times New Roman"/>
                <w:b/>
                <w:bCs/>
                <w:sz w:val="24"/>
                <w:szCs w:val="24"/>
              </w:rPr>
              <w:t>3. semestr</w:t>
            </w:r>
          </w:p>
          <w:p w:rsidR="007D04B6" w:rsidRDefault="007D04B6" w:rsidP="007D04B6">
            <w:pPr>
              <w:pStyle w:val="Odstavecseseznamem"/>
              <w:numPr>
                <w:ilvl w:val="0"/>
                <w:numId w:val="5"/>
              </w:numPr>
              <w:jc w:val="both"/>
              <w:rPr>
                <w:sz w:val="24"/>
                <w:szCs w:val="24"/>
              </w:rPr>
            </w:pPr>
            <w:r w:rsidRPr="6C1FC44E">
              <w:rPr>
                <w:rFonts w:ascii="Times New Roman" w:eastAsia="Times New Roman" w:hAnsi="Times New Roman" w:cs="Times New Roman"/>
                <w:sz w:val="24"/>
                <w:szCs w:val="24"/>
              </w:rPr>
              <w:t xml:space="preserve">Vybrané problémy z historické religionistiky                        </w:t>
            </w:r>
            <w:r>
              <w:rPr>
                <w:rFonts w:ascii="Times New Roman" w:eastAsia="Times New Roman" w:hAnsi="Times New Roman" w:cs="Times New Roman"/>
                <w:sz w:val="24"/>
                <w:szCs w:val="24"/>
              </w:rPr>
              <w:t>-</w:t>
            </w:r>
            <w:r w:rsidRPr="6C1FC44E">
              <w:rPr>
                <w:rFonts w:ascii="Times New Roman" w:eastAsia="Times New Roman" w:hAnsi="Times New Roman" w:cs="Times New Roman"/>
                <w:sz w:val="24"/>
                <w:szCs w:val="24"/>
              </w:rPr>
              <w:t xml:space="preserve"> 10 kreditů, </w:t>
            </w:r>
            <w:proofErr w:type="gramStart"/>
            <w:r w:rsidRPr="6C1FC44E">
              <w:rPr>
                <w:rFonts w:ascii="Times New Roman" w:eastAsia="Times New Roman" w:hAnsi="Times New Roman" w:cs="Times New Roman"/>
                <w:sz w:val="24"/>
                <w:szCs w:val="24"/>
              </w:rPr>
              <w:t>6s</w:t>
            </w:r>
            <w:proofErr w:type="gramEnd"/>
            <w:r w:rsidRPr="6C1FC44E">
              <w:rPr>
                <w:rFonts w:ascii="Times New Roman" w:eastAsia="Times New Roman" w:hAnsi="Times New Roman" w:cs="Times New Roman"/>
                <w:sz w:val="24"/>
                <w:szCs w:val="24"/>
              </w:rPr>
              <w:t>/sem.</w:t>
            </w:r>
          </w:p>
          <w:p w:rsidR="007D04B6" w:rsidRDefault="007D04B6" w:rsidP="00B8117C">
            <w:pPr>
              <w:ind w:left="708"/>
              <w:jc w:val="both"/>
            </w:pPr>
            <w:r w:rsidRPr="6C1FC44E">
              <w:rPr>
                <w:sz w:val="24"/>
                <w:szCs w:val="24"/>
              </w:rPr>
              <w:t>Garant: prof. PhDr. Tomáš Petráček, Ph.D., Th.D.</w:t>
            </w:r>
          </w:p>
          <w:p w:rsidR="007D04B6" w:rsidRDefault="007D04B6" w:rsidP="00B8117C">
            <w:pPr>
              <w:ind w:left="708"/>
              <w:jc w:val="both"/>
            </w:pPr>
            <w:r w:rsidRPr="6C1FC44E">
              <w:rPr>
                <w:sz w:val="24"/>
                <w:szCs w:val="24"/>
              </w:rPr>
              <w:t>Vyučující: prof. PhDr. Tomáš Petráček, Ph.D., Th.D.</w:t>
            </w:r>
          </w:p>
          <w:p w:rsidR="007D04B6" w:rsidRDefault="007D04B6" w:rsidP="00B8117C">
            <w:pPr>
              <w:ind w:left="708"/>
              <w:jc w:val="both"/>
            </w:pPr>
          </w:p>
          <w:p w:rsidR="007D04B6" w:rsidRDefault="007D04B6" w:rsidP="007D04B6">
            <w:pPr>
              <w:pStyle w:val="Odstavecseseznamem"/>
              <w:numPr>
                <w:ilvl w:val="0"/>
                <w:numId w:val="5"/>
              </w:numPr>
              <w:jc w:val="both"/>
              <w:rPr>
                <w:rFonts w:eastAsiaTheme="minorEastAsia"/>
                <w:sz w:val="24"/>
                <w:szCs w:val="24"/>
              </w:rPr>
            </w:pPr>
            <w:r w:rsidRPr="6C1FC44E">
              <w:rPr>
                <w:rFonts w:ascii="Times New Roman" w:eastAsia="Times New Roman" w:hAnsi="Times New Roman" w:cs="Times New Roman"/>
                <w:sz w:val="24"/>
                <w:szCs w:val="24"/>
              </w:rPr>
              <w:t xml:space="preserve">Fenomén výchovy ve filosofické a etické perspektivě         - 10 kreditů, </w:t>
            </w:r>
            <w:proofErr w:type="gramStart"/>
            <w:r w:rsidRPr="6C1FC44E">
              <w:rPr>
                <w:rFonts w:ascii="Times New Roman" w:eastAsia="Times New Roman" w:hAnsi="Times New Roman" w:cs="Times New Roman"/>
                <w:sz w:val="24"/>
                <w:szCs w:val="24"/>
              </w:rPr>
              <w:t>6s</w:t>
            </w:r>
            <w:proofErr w:type="gramEnd"/>
            <w:r w:rsidRPr="6C1FC44E">
              <w:rPr>
                <w:rFonts w:ascii="Times New Roman" w:eastAsia="Times New Roman" w:hAnsi="Times New Roman" w:cs="Times New Roman"/>
                <w:sz w:val="24"/>
                <w:szCs w:val="24"/>
              </w:rPr>
              <w:t>/sem.</w:t>
            </w:r>
          </w:p>
          <w:p w:rsidR="007D04B6" w:rsidRPr="00DA7228" w:rsidRDefault="007D04B6" w:rsidP="00B8117C">
            <w:pPr>
              <w:pStyle w:val="Odstavecseseznamem"/>
              <w:jc w:val="both"/>
              <w:rPr>
                <w:rFonts w:ascii="Times New Roman" w:hAnsi="Times New Roman" w:cs="Times New Roman"/>
                <w:sz w:val="24"/>
                <w:szCs w:val="24"/>
              </w:rPr>
            </w:pPr>
            <w:r w:rsidRPr="00DA7228">
              <w:rPr>
                <w:rFonts w:ascii="Times New Roman" w:eastAsia="Times New Roman" w:hAnsi="Times New Roman" w:cs="Times New Roman"/>
                <w:sz w:val="24"/>
                <w:szCs w:val="24"/>
              </w:rPr>
              <w:t xml:space="preserve">Garant: </w:t>
            </w:r>
            <w:r w:rsidRPr="00DA7228">
              <w:rPr>
                <w:rFonts w:ascii="Times New Roman" w:hAnsi="Times New Roman" w:cs="Times New Roman"/>
                <w:sz w:val="24"/>
                <w:szCs w:val="24"/>
              </w:rPr>
              <w:t xml:space="preserve">doc. PhDr. Jan Hábl, Ph.D. </w:t>
            </w:r>
          </w:p>
          <w:p w:rsidR="007D04B6" w:rsidRPr="00DA7228" w:rsidRDefault="007D04B6" w:rsidP="00B8117C">
            <w:pPr>
              <w:pStyle w:val="Odstavecseseznamem"/>
              <w:jc w:val="both"/>
              <w:rPr>
                <w:rFonts w:ascii="Times New Roman" w:eastAsia="Times New Roman" w:hAnsi="Times New Roman" w:cs="Times New Roman"/>
                <w:sz w:val="24"/>
                <w:szCs w:val="24"/>
              </w:rPr>
            </w:pPr>
            <w:r w:rsidRPr="00DA7228">
              <w:rPr>
                <w:rFonts w:ascii="Times New Roman" w:hAnsi="Times New Roman" w:cs="Times New Roman"/>
                <w:sz w:val="24"/>
                <w:szCs w:val="24"/>
              </w:rPr>
              <w:t>Vyučující: doc. PhDr. Jan Hábl, Ph.D.</w:t>
            </w:r>
          </w:p>
          <w:p w:rsidR="007D04B6" w:rsidRDefault="007D04B6" w:rsidP="00B8117C">
            <w:pPr>
              <w:pStyle w:val="Odstavecseseznamem"/>
              <w:jc w:val="both"/>
              <w:rPr>
                <w:rFonts w:ascii="Times New Roman" w:eastAsia="Times New Roman" w:hAnsi="Times New Roman" w:cs="Times New Roman"/>
                <w:sz w:val="24"/>
                <w:szCs w:val="24"/>
              </w:rPr>
            </w:pPr>
          </w:p>
          <w:p w:rsidR="007D04B6" w:rsidRDefault="007D04B6" w:rsidP="00B8117C">
            <w:pPr>
              <w:pStyle w:val="Odstavecseseznamem"/>
              <w:spacing w:after="0"/>
              <w:jc w:val="both"/>
              <w:rPr>
                <w:rFonts w:ascii="Times New Roman" w:eastAsia="Times New Roman" w:hAnsi="Times New Roman" w:cs="Times New Roman"/>
                <w:b/>
                <w:bCs/>
                <w:sz w:val="24"/>
                <w:szCs w:val="24"/>
              </w:rPr>
            </w:pPr>
            <w:r w:rsidRPr="6C1FC44E">
              <w:rPr>
                <w:rFonts w:ascii="Times New Roman" w:eastAsia="Times New Roman" w:hAnsi="Times New Roman" w:cs="Times New Roman"/>
                <w:b/>
                <w:bCs/>
                <w:sz w:val="24"/>
                <w:szCs w:val="24"/>
              </w:rPr>
              <w:t>4. semestr</w:t>
            </w:r>
          </w:p>
          <w:p w:rsidR="007D04B6" w:rsidRDefault="007D04B6" w:rsidP="007D04B6">
            <w:pPr>
              <w:pStyle w:val="Odstavecseseznamem"/>
              <w:numPr>
                <w:ilvl w:val="0"/>
                <w:numId w:val="4"/>
              </w:numPr>
              <w:rPr>
                <w:rFonts w:ascii="Times New Roman" w:eastAsia="Times New Roman" w:hAnsi="Times New Roman" w:cs="Times New Roman"/>
                <w:sz w:val="24"/>
                <w:szCs w:val="24"/>
              </w:rPr>
            </w:pPr>
            <w:r w:rsidRPr="6C1FC44E">
              <w:rPr>
                <w:rFonts w:ascii="Times New Roman" w:eastAsia="Times New Roman" w:hAnsi="Times New Roman" w:cs="Times New Roman"/>
                <w:sz w:val="24"/>
                <w:szCs w:val="24"/>
              </w:rPr>
              <w:t>Filosoficko- a teologicko-antropologická interpretace uměleckého díla</w:t>
            </w:r>
          </w:p>
          <w:p w:rsidR="007D04B6" w:rsidRDefault="007D04B6" w:rsidP="00B8117C">
            <w:pPr>
              <w:pStyle w:val="Odstavecseseznamem"/>
              <w:rPr>
                <w:rFonts w:ascii="Times New Roman" w:eastAsia="Times New Roman" w:hAnsi="Times New Roman" w:cs="Times New Roman"/>
                <w:sz w:val="24"/>
                <w:szCs w:val="24"/>
              </w:rPr>
            </w:pPr>
            <w:r w:rsidRPr="6C1FC4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6C1FC44E">
              <w:rPr>
                <w:rFonts w:ascii="Times New Roman" w:eastAsia="Times New Roman" w:hAnsi="Times New Roman" w:cs="Times New Roman"/>
                <w:sz w:val="24"/>
                <w:szCs w:val="24"/>
              </w:rPr>
              <w:t xml:space="preserve">- 10 kreditů, </w:t>
            </w:r>
            <w:proofErr w:type="gramStart"/>
            <w:r w:rsidRPr="6C1FC44E">
              <w:rPr>
                <w:rFonts w:ascii="Times New Roman" w:eastAsia="Times New Roman" w:hAnsi="Times New Roman" w:cs="Times New Roman"/>
                <w:sz w:val="24"/>
                <w:szCs w:val="24"/>
              </w:rPr>
              <w:t>13s</w:t>
            </w:r>
            <w:proofErr w:type="gramEnd"/>
            <w:r w:rsidRPr="6C1FC44E">
              <w:rPr>
                <w:rFonts w:ascii="Times New Roman" w:eastAsia="Times New Roman" w:hAnsi="Times New Roman" w:cs="Times New Roman"/>
                <w:sz w:val="24"/>
                <w:szCs w:val="24"/>
              </w:rPr>
              <w:t>/sem.</w:t>
            </w:r>
          </w:p>
          <w:p w:rsidR="007D04B6" w:rsidRDefault="007D04B6" w:rsidP="00B8117C">
            <w:pPr>
              <w:pStyle w:val="Odstavecseseznamem"/>
              <w:jc w:val="both"/>
              <w:rPr>
                <w:rFonts w:ascii="Times New Roman" w:hAnsi="Times New Roman" w:cs="Times New Roman"/>
                <w:sz w:val="24"/>
                <w:szCs w:val="24"/>
              </w:rPr>
            </w:pPr>
            <w:r w:rsidRPr="6C1FC44E">
              <w:rPr>
                <w:rFonts w:ascii="Times New Roman" w:eastAsia="Times New Roman" w:hAnsi="Times New Roman" w:cs="Times New Roman"/>
                <w:sz w:val="24"/>
                <w:szCs w:val="24"/>
              </w:rPr>
              <w:t>Garant:</w:t>
            </w:r>
            <w:r w:rsidRPr="6C1FC44E">
              <w:rPr>
                <w:rFonts w:ascii="Times New Roman" w:hAnsi="Times New Roman" w:cs="Times New Roman"/>
                <w:sz w:val="24"/>
                <w:szCs w:val="24"/>
              </w:rPr>
              <w:t xml:space="preserve"> doc. Mgr. Jan Hojda, Th.D.</w:t>
            </w:r>
            <w:r w:rsidRPr="6C1FC44E">
              <w:rPr>
                <w:rFonts w:ascii="Times New Roman" w:eastAsia="Times New Roman" w:hAnsi="Times New Roman" w:cs="Times New Roman"/>
                <w:sz w:val="24"/>
                <w:szCs w:val="24"/>
              </w:rPr>
              <w:t xml:space="preserve"> </w:t>
            </w:r>
            <w:r w:rsidRPr="6C1FC44E">
              <w:rPr>
                <w:rFonts w:ascii="Times New Roman" w:hAnsi="Times New Roman" w:cs="Times New Roman"/>
                <w:sz w:val="24"/>
                <w:szCs w:val="24"/>
              </w:rPr>
              <w:t xml:space="preserve">  </w:t>
            </w:r>
          </w:p>
          <w:p w:rsidR="007D04B6" w:rsidRDefault="007D04B6" w:rsidP="00B8117C">
            <w:pPr>
              <w:pStyle w:val="Odstavecseseznamem"/>
              <w:jc w:val="both"/>
              <w:rPr>
                <w:rFonts w:ascii="Times New Roman" w:eastAsia="Times New Roman" w:hAnsi="Times New Roman" w:cs="Times New Roman"/>
                <w:sz w:val="24"/>
                <w:szCs w:val="24"/>
              </w:rPr>
            </w:pPr>
            <w:r w:rsidRPr="6C1FC44E">
              <w:rPr>
                <w:rFonts w:ascii="Times New Roman" w:hAnsi="Times New Roman" w:cs="Times New Roman"/>
                <w:sz w:val="24"/>
                <w:szCs w:val="24"/>
              </w:rPr>
              <w:t>Vyučující: doc. Mgr. Jan Hojda, Th.D.</w:t>
            </w:r>
          </w:p>
          <w:p w:rsidR="007D04B6" w:rsidRDefault="007D04B6" w:rsidP="00B8117C">
            <w:pPr>
              <w:pStyle w:val="Odstavecseseznamem"/>
              <w:jc w:val="both"/>
              <w:rPr>
                <w:rFonts w:ascii="Times New Roman" w:eastAsia="Times New Roman" w:hAnsi="Times New Roman" w:cs="Times New Roman"/>
              </w:rPr>
            </w:pPr>
          </w:p>
          <w:p w:rsidR="007D04B6" w:rsidRDefault="007D04B6" w:rsidP="00B8117C">
            <w:pPr>
              <w:pStyle w:val="Odstavecseseznamem"/>
              <w:jc w:val="both"/>
              <w:rPr>
                <w:rFonts w:ascii="Times New Roman" w:eastAsia="Times New Roman" w:hAnsi="Times New Roman" w:cs="Times New Roman"/>
                <w:sz w:val="24"/>
                <w:szCs w:val="24"/>
              </w:rPr>
            </w:pPr>
          </w:p>
          <w:p w:rsidR="007D04B6" w:rsidRDefault="007D04B6" w:rsidP="00B8117C">
            <w:pPr>
              <w:jc w:val="both"/>
              <w:rPr>
                <w:b/>
                <w:bCs/>
                <w:sz w:val="24"/>
                <w:szCs w:val="24"/>
              </w:rPr>
            </w:pPr>
            <w:r w:rsidRPr="3C03283E">
              <w:rPr>
                <w:b/>
                <w:bCs/>
                <w:sz w:val="24"/>
                <w:szCs w:val="24"/>
              </w:rPr>
              <w:t>B. Seminář k psaní dizertační práce 1-6</w:t>
            </w:r>
            <w:r>
              <w:rPr>
                <w:b/>
                <w:bCs/>
                <w:sz w:val="24"/>
                <w:szCs w:val="24"/>
              </w:rPr>
              <w:t xml:space="preserve"> - 6x10 kreditů</w:t>
            </w:r>
          </w:p>
          <w:p w:rsidR="007D04B6" w:rsidRDefault="007D04B6" w:rsidP="00B8117C">
            <w:pPr>
              <w:jc w:val="both"/>
              <w:rPr>
                <w:sz w:val="24"/>
                <w:szCs w:val="24"/>
              </w:rPr>
            </w:pPr>
            <w:r>
              <w:rPr>
                <w:b/>
                <w:bCs/>
                <w:sz w:val="24"/>
                <w:szCs w:val="24"/>
              </w:rPr>
              <w:t xml:space="preserve">    (</w:t>
            </w:r>
            <w:r>
              <w:rPr>
                <w:sz w:val="24"/>
                <w:szCs w:val="24"/>
              </w:rPr>
              <w:t>PZ</w:t>
            </w:r>
            <w:r w:rsidRPr="00397076">
              <w:rPr>
                <w:sz w:val="24"/>
                <w:szCs w:val="24"/>
              </w:rPr>
              <w:t xml:space="preserve">, </w:t>
            </w:r>
            <w:proofErr w:type="gramStart"/>
            <w:r w:rsidRPr="00397076">
              <w:rPr>
                <w:sz w:val="24"/>
                <w:szCs w:val="24"/>
              </w:rPr>
              <w:t>13</w:t>
            </w:r>
            <w:r>
              <w:rPr>
                <w:sz w:val="24"/>
                <w:szCs w:val="24"/>
              </w:rPr>
              <w:t>s</w:t>
            </w:r>
            <w:proofErr w:type="gramEnd"/>
            <w:r>
              <w:rPr>
                <w:sz w:val="24"/>
                <w:szCs w:val="24"/>
              </w:rPr>
              <w:t>/sem)</w:t>
            </w:r>
          </w:p>
          <w:p w:rsidR="007D04B6" w:rsidRDefault="007D04B6" w:rsidP="00B8117C">
            <w:pPr>
              <w:jc w:val="both"/>
              <w:rPr>
                <w:b/>
                <w:bCs/>
                <w:sz w:val="24"/>
                <w:szCs w:val="24"/>
              </w:rPr>
            </w:pPr>
          </w:p>
          <w:p w:rsidR="007D04B6" w:rsidRDefault="007D04B6" w:rsidP="00B8117C">
            <w:pPr>
              <w:jc w:val="both"/>
              <w:rPr>
                <w:sz w:val="24"/>
                <w:szCs w:val="24"/>
              </w:rPr>
            </w:pPr>
            <w:r w:rsidRPr="6C1FC44E">
              <w:rPr>
                <w:sz w:val="24"/>
                <w:szCs w:val="24"/>
              </w:rPr>
              <w:t xml:space="preserve">Seminář k psaní dizertační práce slouží k prohlubování konceptuálního, metodologického i tematického ukotvení dizertační práce. Seminář probíhá vždy pod vedením jednotlivých školitelů dizertační práce, je možné, aby probíhal buď v individuální, nebo skupinové podobě. Část výuky lze realizovat též na základě spolupráce různých školitelů. Cílem semináře je prohlubování odbornosti studentů nutné pro jejich vlastní vědeckou a výzkumnou činnost a osvojení metod vědecké a badatelské práce nutných k zpracování tématu dizertační práce. Seminář k psaní dizertační práce probíhá v průběhu prvních 6 semestrů studia, vždy v rozsahu </w:t>
            </w:r>
            <w:proofErr w:type="gramStart"/>
            <w:r w:rsidRPr="6C1FC44E">
              <w:rPr>
                <w:sz w:val="24"/>
                <w:szCs w:val="24"/>
              </w:rPr>
              <w:t>13h</w:t>
            </w:r>
            <w:proofErr w:type="gramEnd"/>
            <w:r w:rsidRPr="6C1FC44E">
              <w:rPr>
                <w:sz w:val="24"/>
                <w:szCs w:val="24"/>
              </w:rPr>
              <w:t>/semestr. Kreditové hodnocení každého z předmětů je 10 kreditů.</w:t>
            </w:r>
          </w:p>
          <w:p w:rsidR="007D04B6" w:rsidRDefault="007D04B6" w:rsidP="00B8117C">
            <w:pPr>
              <w:jc w:val="both"/>
            </w:pPr>
          </w:p>
          <w:p w:rsidR="007D04B6" w:rsidRPr="00FA2A29" w:rsidRDefault="007D04B6" w:rsidP="00B8117C">
            <w:pPr>
              <w:pStyle w:val="Odstavecseseznamem"/>
              <w:jc w:val="both"/>
              <w:rPr>
                <w:rFonts w:ascii="Times New Roman" w:hAnsi="Times New Roman" w:cs="Times New Roman"/>
                <w:sz w:val="24"/>
                <w:szCs w:val="24"/>
              </w:rPr>
            </w:pPr>
            <w:proofErr w:type="gramStart"/>
            <w:r w:rsidRPr="00FA2A29">
              <w:rPr>
                <w:rFonts w:ascii="Times New Roman" w:eastAsia="Times New Roman" w:hAnsi="Times New Roman" w:cs="Times New Roman"/>
                <w:sz w:val="24"/>
                <w:szCs w:val="24"/>
              </w:rPr>
              <w:t xml:space="preserve">Garant: </w:t>
            </w:r>
            <w:r w:rsidRPr="00FA2A29">
              <w:rPr>
                <w:rFonts w:ascii="Times New Roman" w:hAnsi="Times New Roman" w:cs="Times New Roman"/>
                <w:sz w:val="24"/>
                <w:szCs w:val="24"/>
              </w:rPr>
              <w:t xml:space="preserve">  </w:t>
            </w:r>
            <w:proofErr w:type="gramEnd"/>
            <w:r w:rsidRPr="00FA2A29">
              <w:rPr>
                <w:rFonts w:ascii="Times New Roman" w:hAnsi="Times New Roman" w:cs="Times New Roman"/>
                <w:sz w:val="24"/>
                <w:szCs w:val="24"/>
              </w:rPr>
              <w:t>prof. PhDr. Tomáš Petráček, Ph.D., Th.D.</w:t>
            </w:r>
          </w:p>
          <w:p w:rsidR="007D04B6" w:rsidRPr="00FA2A29" w:rsidRDefault="007D04B6" w:rsidP="00B8117C">
            <w:pPr>
              <w:pStyle w:val="Odstavecseseznamem"/>
              <w:spacing w:after="0"/>
              <w:jc w:val="both"/>
              <w:rPr>
                <w:rFonts w:ascii="Times New Roman" w:eastAsia="Times New Roman" w:hAnsi="Times New Roman" w:cs="Times New Roman"/>
                <w:sz w:val="24"/>
                <w:szCs w:val="24"/>
              </w:rPr>
            </w:pPr>
            <w:r w:rsidRPr="00FA2A29">
              <w:rPr>
                <w:rFonts w:ascii="Times New Roman" w:hAnsi="Times New Roman" w:cs="Times New Roman"/>
                <w:sz w:val="24"/>
                <w:szCs w:val="24"/>
              </w:rPr>
              <w:t>Vyučující: prof. PhDr. Tomáš Petráček, Ph.D., Th.D.</w:t>
            </w:r>
          </w:p>
          <w:p w:rsidR="007D04B6" w:rsidRPr="00FA2A29" w:rsidRDefault="007D04B6" w:rsidP="00B8117C">
            <w:pPr>
              <w:rPr>
                <w:sz w:val="24"/>
                <w:szCs w:val="24"/>
              </w:rPr>
            </w:pPr>
            <w:r w:rsidRPr="6C1FC44E">
              <w:rPr>
                <w:sz w:val="24"/>
                <w:szCs w:val="24"/>
              </w:rPr>
              <w:t xml:space="preserve">                             doc. Mgr. David Bouma, Ph.D.</w:t>
            </w:r>
          </w:p>
          <w:p w:rsidR="007D04B6" w:rsidRPr="00FA2A29" w:rsidRDefault="007D04B6" w:rsidP="00B8117C">
            <w:pPr>
              <w:rPr>
                <w:sz w:val="24"/>
                <w:szCs w:val="24"/>
              </w:rPr>
            </w:pPr>
            <w:r>
              <w:rPr>
                <w:sz w:val="24"/>
                <w:szCs w:val="24"/>
              </w:rPr>
              <w:t xml:space="preserve">                             </w:t>
            </w:r>
            <w:r w:rsidRPr="00FA2A29">
              <w:rPr>
                <w:sz w:val="24"/>
                <w:szCs w:val="24"/>
              </w:rPr>
              <w:t xml:space="preserve">doc., PhDr., </w:t>
            </w:r>
            <w:r>
              <w:rPr>
                <w:sz w:val="24"/>
                <w:szCs w:val="24"/>
              </w:rPr>
              <w:t xml:space="preserve">Jan </w:t>
            </w:r>
            <w:r w:rsidRPr="00FA2A29">
              <w:rPr>
                <w:sz w:val="24"/>
                <w:szCs w:val="24"/>
              </w:rPr>
              <w:t>Hábl, Ph.D.</w:t>
            </w:r>
          </w:p>
          <w:p w:rsidR="007D04B6" w:rsidRPr="00FA2A29" w:rsidRDefault="007D04B6" w:rsidP="00B8117C">
            <w:pPr>
              <w:rPr>
                <w:sz w:val="24"/>
                <w:szCs w:val="24"/>
              </w:rPr>
            </w:pPr>
            <w:r w:rsidRPr="6C1FC44E">
              <w:rPr>
                <w:sz w:val="24"/>
                <w:szCs w:val="24"/>
              </w:rPr>
              <w:t xml:space="preserve">                             doc. Mgr., Jan Hojda, Th.D. </w:t>
            </w:r>
          </w:p>
          <w:p w:rsidR="007D04B6" w:rsidRDefault="007D04B6" w:rsidP="00B8117C">
            <w:r w:rsidRPr="6C1FC44E">
              <w:rPr>
                <w:sz w:val="24"/>
                <w:szCs w:val="24"/>
              </w:rPr>
              <w:t xml:space="preserve">                             doc. Mgr. Martin Paleček, Ph.D.</w:t>
            </w:r>
          </w:p>
          <w:p w:rsidR="007D04B6" w:rsidRDefault="007D04B6" w:rsidP="00B8117C">
            <w:pPr>
              <w:jc w:val="both"/>
              <w:rPr>
                <w:sz w:val="24"/>
                <w:szCs w:val="24"/>
              </w:rPr>
            </w:pPr>
          </w:p>
          <w:p w:rsidR="007D04B6" w:rsidRDefault="007D04B6" w:rsidP="00B8117C">
            <w:pPr>
              <w:jc w:val="both"/>
              <w:rPr>
                <w:b/>
                <w:bCs/>
                <w:sz w:val="24"/>
                <w:szCs w:val="24"/>
              </w:rPr>
            </w:pPr>
          </w:p>
          <w:p w:rsidR="007D04B6" w:rsidRDefault="007D04B6" w:rsidP="00B8117C">
            <w:pPr>
              <w:jc w:val="both"/>
              <w:rPr>
                <w:b/>
                <w:bCs/>
                <w:sz w:val="24"/>
                <w:szCs w:val="24"/>
              </w:rPr>
            </w:pPr>
            <w:r w:rsidRPr="3C03283E">
              <w:rPr>
                <w:b/>
                <w:bCs/>
                <w:sz w:val="24"/>
                <w:szCs w:val="24"/>
              </w:rPr>
              <w:t>C. Atestace z</w:t>
            </w:r>
            <w:r>
              <w:rPr>
                <w:b/>
                <w:bCs/>
                <w:sz w:val="24"/>
                <w:szCs w:val="24"/>
              </w:rPr>
              <w:t> </w:t>
            </w:r>
            <w:r w:rsidRPr="3C03283E">
              <w:rPr>
                <w:b/>
                <w:bCs/>
                <w:sz w:val="24"/>
                <w:szCs w:val="24"/>
              </w:rPr>
              <w:t>jazyků</w:t>
            </w:r>
            <w:r>
              <w:rPr>
                <w:b/>
                <w:bCs/>
                <w:sz w:val="24"/>
                <w:szCs w:val="24"/>
              </w:rPr>
              <w:t xml:space="preserve"> (20 kreditů)</w:t>
            </w:r>
          </w:p>
          <w:p w:rsidR="007D04B6" w:rsidRDefault="007D04B6" w:rsidP="00B8117C">
            <w:pPr>
              <w:jc w:val="both"/>
              <w:rPr>
                <w:sz w:val="24"/>
                <w:szCs w:val="24"/>
              </w:rPr>
            </w:pPr>
            <w:r w:rsidRPr="15A60594">
              <w:rPr>
                <w:sz w:val="24"/>
                <w:szCs w:val="24"/>
              </w:rPr>
              <w:t>Součástí studijního plá</w:t>
            </w:r>
            <w:r>
              <w:rPr>
                <w:sz w:val="24"/>
                <w:szCs w:val="24"/>
              </w:rPr>
              <w:t>nu jsou také povinné atestace z</w:t>
            </w:r>
            <w:r w:rsidRPr="15A60594">
              <w:rPr>
                <w:sz w:val="24"/>
                <w:szCs w:val="24"/>
              </w:rPr>
              <w:t xml:space="preserve"> 2 cizích jazyků. Jednoho na aktivní úrovni, jednoho na úrovni nutné pro práci s odborným textem (porozumění odbornému textu, práce s informačními materiály v cizím jazyce)</w:t>
            </w:r>
            <w:r>
              <w:rPr>
                <w:sz w:val="24"/>
                <w:szCs w:val="24"/>
              </w:rPr>
              <w:t>. Kreditové hodnocení každého z předmětů je 10 kreditů.</w:t>
            </w:r>
          </w:p>
          <w:p w:rsidR="007D04B6" w:rsidRPr="00FA2A29" w:rsidRDefault="007D04B6" w:rsidP="007D04B6">
            <w:pPr>
              <w:pStyle w:val="Odstavecseseznamem"/>
              <w:numPr>
                <w:ilvl w:val="0"/>
                <w:numId w:val="4"/>
              </w:numPr>
              <w:jc w:val="both"/>
              <w:rPr>
                <w:rFonts w:ascii="Times New Roman" w:eastAsia="Times New Roman" w:hAnsi="Times New Roman" w:cs="Times New Roman"/>
                <w:sz w:val="24"/>
                <w:szCs w:val="24"/>
              </w:rPr>
            </w:pPr>
            <w:r w:rsidRPr="4EDEAC65">
              <w:rPr>
                <w:rFonts w:ascii="Times New Roman" w:eastAsia="Times New Roman" w:hAnsi="Times New Roman" w:cs="Times New Roman"/>
                <w:sz w:val="24"/>
                <w:szCs w:val="24"/>
              </w:rPr>
              <w:t>Cizí jazyk I – anglický/německý nebo jiný cizí jazyk (aktivní znalost)</w:t>
            </w:r>
            <w:r w:rsidRPr="00FA2A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10 kreditů</w:t>
            </w:r>
          </w:p>
          <w:p w:rsidR="007D04B6" w:rsidRPr="00FA2A29" w:rsidRDefault="007D04B6" w:rsidP="00B8117C">
            <w:pPr>
              <w:pStyle w:val="Odstavecseseznamem"/>
              <w:jc w:val="both"/>
              <w:rPr>
                <w:rFonts w:ascii="Times New Roman" w:hAnsi="Times New Roman" w:cs="Times New Roman"/>
                <w:sz w:val="24"/>
                <w:szCs w:val="24"/>
              </w:rPr>
            </w:pPr>
            <w:r>
              <w:rPr>
                <w:rFonts w:ascii="Times New Roman" w:hAnsi="Times New Roman" w:cs="Times New Roman"/>
                <w:sz w:val="24"/>
                <w:szCs w:val="24"/>
              </w:rPr>
              <w:t>Garant</w:t>
            </w:r>
            <w:r w:rsidRPr="00FA2A29">
              <w:rPr>
                <w:rFonts w:ascii="Times New Roman" w:hAnsi="Times New Roman" w:cs="Times New Roman"/>
                <w:sz w:val="24"/>
                <w:szCs w:val="24"/>
              </w:rPr>
              <w:t>:</w:t>
            </w:r>
            <w:r>
              <w:rPr>
                <w:rFonts w:ascii="Times New Roman" w:hAnsi="Times New Roman" w:cs="Times New Roman"/>
                <w:sz w:val="24"/>
                <w:szCs w:val="24"/>
              </w:rPr>
              <w:t xml:space="preserve"> </w:t>
            </w:r>
            <w:r w:rsidRPr="00FA2A29">
              <w:rPr>
                <w:rFonts w:ascii="Times New Roman" w:hAnsi="Times New Roman" w:cs="Times New Roman"/>
                <w:sz w:val="24"/>
                <w:szCs w:val="24"/>
              </w:rPr>
              <w:t>prof. PhDr. Tomáš Petráček, Ph.D., Th.D.</w:t>
            </w:r>
          </w:p>
          <w:p w:rsidR="007D04B6" w:rsidRPr="00FA2A29" w:rsidRDefault="007D04B6" w:rsidP="007D04B6">
            <w:pPr>
              <w:pStyle w:val="Odstavecseseznamem"/>
              <w:numPr>
                <w:ilvl w:val="0"/>
                <w:numId w:val="4"/>
              </w:numPr>
              <w:jc w:val="both"/>
            </w:pPr>
            <w:r w:rsidRPr="4EDEAC65">
              <w:rPr>
                <w:rFonts w:ascii="Times New Roman" w:eastAsia="Times New Roman" w:hAnsi="Times New Roman" w:cs="Times New Roman"/>
                <w:sz w:val="24"/>
                <w:szCs w:val="24"/>
              </w:rPr>
              <w:lastRenderedPageBreak/>
              <w:t xml:space="preserve">Cizí jazyk II – anglický/německý nebo jiný cizí jazyk (práce s textem a materiály) </w:t>
            </w:r>
            <w:r>
              <w:rPr>
                <w:rFonts w:ascii="Times New Roman" w:eastAsia="Times New Roman" w:hAnsi="Times New Roman" w:cs="Times New Roman"/>
                <w:sz w:val="24"/>
                <w:szCs w:val="24"/>
              </w:rPr>
              <w:t>– 10 kreditů</w:t>
            </w:r>
          </w:p>
          <w:p w:rsidR="007D04B6" w:rsidRDefault="007D04B6" w:rsidP="00B8117C">
            <w:pPr>
              <w:pStyle w:val="Odstavecseseznamem"/>
              <w:jc w:val="both"/>
              <w:rPr>
                <w:rFonts w:ascii="Times New Roman" w:hAnsi="Times New Roman" w:cs="Times New Roman"/>
                <w:sz w:val="24"/>
                <w:szCs w:val="24"/>
              </w:rPr>
            </w:pPr>
            <w:r>
              <w:rPr>
                <w:rFonts w:ascii="Times New Roman" w:hAnsi="Times New Roman" w:cs="Times New Roman"/>
                <w:sz w:val="24"/>
                <w:szCs w:val="24"/>
              </w:rPr>
              <w:t xml:space="preserve">Garant: </w:t>
            </w:r>
            <w:r w:rsidRPr="00FA2A29">
              <w:rPr>
                <w:rFonts w:ascii="Times New Roman" w:hAnsi="Times New Roman" w:cs="Times New Roman"/>
                <w:sz w:val="24"/>
                <w:szCs w:val="24"/>
              </w:rPr>
              <w:t>prof. PhDr. Tomáš Petráček, Ph.D., Th.D.</w:t>
            </w:r>
          </w:p>
          <w:p w:rsidR="007D04B6" w:rsidRPr="00F72D7A" w:rsidRDefault="007D04B6" w:rsidP="00B8117C">
            <w:pPr>
              <w:jc w:val="both"/>
              <w:rPr>
                <w:b/>
                <w:sz w:val="24"/>
                <w:szCs w:val="24"/>
                <w:u w:val="single"/>
              </w:rPr>
            </w:pPr>
            <w:r w:rsidRPr="00F72D7A">
              <w:rPr>
                <w:b/>
                <w:sz w:val="24"/>
                <w:szCs w:val="24"/>
                <w:u w:val="single"/>
              </w:rPr>
              <w:t xml:space="preserve">Povinně-volitelné předměty </w:t>
            </w:r>
            <w:r w:rsidRPr="00F72D7A">
              <w:rPr>
                <w:sz w:val="24"/>
                <w:szCs w:val="24"/>
              </w:rPr>
              <w:t>(</w:t>
            </w:r>
            <w:proofErr w:type="gramStart"/>
            <w:r w:rsidRPr="00F72D7A">
              <w:rPr>
                <w:sz w:val="24"/>
                <w:szCs w:val="24"/>
              </w:rPr>
              <w:t>6s</w:t>
            </w:r>
            <w:proofErr w:type="gramEnd"/>
            <w:r w:rsidRPr="00F72D7A">
              <w:rPr>
                <w:sz w:val="24"/>
                <w:szCs w:val="24"/>
              </w:rPr>
              <w:t>/sem)</w:t>
            </w:r>
          </w:p>
          <w:p w:rsidR="007D04B6" w:rsidRPr="00F72D7A" w:rsidRDefault="007D04B6" w:rsidP="00B8117C">
            <w:pPr>
              <w:jc w:val="both"/>
              <w:rPr>
                <w:sz w:val="24"/>
                <w:szCs w:val="24"/>
              </w:rPr>
            </w:pPr>
            <w:r w:rsidRPr="00F72D7A">
              <w:rPr>
                <w:sz w:val="24"/>
                <w:szCs w:val="24"/>
              </w:rPr>
              <w:t>Ve čtvrtém semestru studia si doktorand volí jeden ze tří nabízených povinně-volitelných předmětů. Povinně-volitelné doktorské semináře nabízejí rozvinutí odborné specializace doktoranda s ohledem na zaměření dizertační práce a s přihlédnutím k odborným kompetencím získaným v předcházejícím magisterském studiu.</w:t>
            </w:r>
          </w:p>
          <w:p w:rsidR="007D04B6" w:rsidRPr="00F72D7A" w:rsidRDefault="007D04B6" w:rsidP="00B8117C">
            <w:pPr>
              <w:jc w:val="both"/>
              <w:rPr>
                <w:sz w:val="24"/>
                <w:szCs w:val="24"/>
              </w:rPr>
            </w:pPr>
          </w:p>
          <w:p w:rsidR="007D04B6" w:rsidRDefault="007D04B6" w:rsidP="007D04B6">
            <w:pPr>
              <w:pStyle w:val="Odstavecseseznamem"/>
              <w:numPr>
                <w:ilvl w:val="0"/>
                <w:numId w:val="6"/>
              </w:numPr>
              <w:jc w:val="both"/>
              <w:rPr>
                <w:rFonts w:eastAsiaTheme="minorEastAsia"/>
                <w:sz w:val="24"/>
                <w:szCs w:val="24"/>
              </w:rPr>
            </w:pPr>
            <w:r w:rsidRPr="6C1FC44E">
              <w:rPr>
                <w:rFonts w:ascii="Times New Roman" w:eastAsia="Times New Roman" w:hAnsi="Times New Roman" w:cs="Times New Roman"/>
                <w:sz w:val="24"/>
                <w:szCs w:val="24"/>
              </w:rPr>
              <w:t xml:space="preserve">Současné přístupy v antropologii a v kulturních studiích           - 10 kreditů, </w:t>
            </w:r>
            <w:proofErr w:type="gramStart"/>
            <w:r w:rsidRPr="6C1FC44E">
              <w:rPr>
                <w:rFonts w:ascii="Times New Roman" w:eastAsia="Times New Roman" w:hAnsi="Times New Roman" w:cs="Times New Roman"/>
                <w:sz w:val="24"/>
                <w:szCs w:val="24"/>
              </w:rPr>
              <w:t>6s</w:t>
            </w:r>
            <w:proofErr w:type="gramEnd"/>
            <w:r w:rsidRPr="6C1FC44E">
              <w:rPr>
                <w:rFonts w:ascii="Times New Roman" w:eastAsia="Times New Roman" w:hAnsi="Times New Roman" w:cs="Times New Roman"/>
                <w:sz w:val="24"/>
                <w:szCs w:val="24"/>
              </w:rPr>
              <w:t>/sem.</w:t>
            </w:r>
          </w:p>
          <w:p w:rsidR="007D04B6" w:rsidRDefault="007D04B6" w:rsidP="00B8117C">
            <w:pPr>
              <w:jc w:val="both"/>
            </w:pPr>
            <w:r w:rsidRPr="6C1FC44E">
              <w:rPr>
                <w:sz w:val="24"/>
                <w:szCs w:val="24"/>
              </w:rPr>
              <w:t xml:space="preserve">           Garant: Mgr. Zdenka Sokolíčková, Ph.D.   </w:t>
            </w:r>
          </w:p>
          <w:p w:rsidR="007D04B6" w:rsidRDefault="007D04B6" w:rsidP="00B8117C">
            <w:pPr>
              <w:jc w:val="both"/>
              <w:rPr>
                <w:sz w:val="24"/>
                <w:szCs w:val="24"/>
              </w:rPr>
            </w:pPr>
            <w:r w:rsidRPr="6C1FC44E">
              <w:rPr>
                <w:sz w:val="24"/>
                <w:szCs w:val="24"/>
              </w:rPr>
              <w:t xml:space="preserve">           Vyučující: Mgr. Zdenka Sokolíčková, Ph.D.  (</w:t>
            </w:r>
            <w:proofErr w:type="gramStart"/>
            <w:r w:rsidRPr="6C1FC44E">
              <w:rPr>
                <w:sz w:val="24"/>
                <w:szCs w:val="24"/>
              </w:rPr>
              <w:t>50%</w:t>
            </w:r>
            <w:proofErr w:type="gramEnd"/>
            <w:r w:rsidRPr="6C1FC44E">
              <w:rPr>
                <w:sz w:val="24"/>
                <w:szCs w:val="24"/>
              </w:rPr>
              <w:t>), Mgr. Luděk Jirka, Ph.D. (50%)</w:t>
            </w:r>
          </w:p>
          <w:p w:rsidR="007D04B6" w:rsidRDefault="007D04B6" w:rsidP="00B8117C">
            <w:pPr>
              <w:jc w:val="both"/>
            </w:pPr>
          </w:p>
          <w:p w:rsidR="007D04B6" w:rsidRPr="00F72D7A" w:rsidRDefault="007D04B6" w:rsidP="007D04B6">
            <w:pPr>
              <w:pStyle w:val="Odstavecseseznamem"/>
              <w:numPr>
                <w:ilvl w:val="0"/>
                <w:numId w:val="6"/>
              </w:numPr>
              <w:jc w:val="both"/>
              <w:rPr>
                <w:rFonts w:ascii="Times New Roman" w:hAnsi="Times New Roman" w:cs="Times New Roman"/>
                <w:sz w:val="24"/>
                <w:szCs w:val="24"/>
              </w:rPr>
            </w:pPr>
            <w:r w:rsidRPr="6C1FC44E">
              <w:rPr>
                <w:rFonts w:ascii="Times New Roman" w:eastAsia="Times New Roman" w:hAnsi="Times New Roman" w:cs="Times New Roman"/>
                <w:sz w:val="24"/>
                <w:szCs w:val="24"/>
              </w:rPr>
              <w:t xml:space="preserve">Konceptuální proměny studia sociálních dějin                   - 10 kreditů, </w:t>
            </w:r>
            <w:proofErr w:type="gramStart"/>
            <w:r w:rsidRPr="6C1FC44E">
              <w:rPr>
                <w:rFonts w:ascii="Times New Roman" w:eastAsia="Times New Roman" w:hAnsi="Times New Roman" w:cs="Times New Roman"/>
                <w:sz w:val="24"/>
                <w:szCs w:val="24"/>
              </w:rPr>
              <w:t>6s</w:t>
            </w:r>
            <w:proofErr w:type="gramEnd"/>
            <w:r w:rsidRPr="6C1FC44E">
              <w:rPr>
                <w:rFonts w:ascii="Times New Roman" w:eastAsia="Times New Roman" w:hAnsi="Times New Roman" w:cs="Times New Roman"/>
                <w:sz w:val="24"/>
                <w:szCs w:val="24"/>
              </w:rPr>
              <w:t>/sem.</w:t>
            </w:r>
          </w:p>
          <w:p w:rsidR="007D04B6" w:rsidRPr="00D044E2" w:rsidRDefault="007D04B6" w:rsidP="00B8117C">
            <w:pPr>
              <w:pStyle w:val="Odstavecseseznamem"/>
              <w:jc w:val="both"/>
              <w:rPr>
                <w:rFonts w:ascii="Times New Roman" w:hAnsi="Times New Roman" w:cs="Times New Roman"/>
                <w:sz w:val="24"/>
                <w:szCs w:val="24"/>
              </w:rPr>
            </w:pPr>
            <w:r w:rsidRPr="6C1FC44E">
              <w:rPr>
                <w:rFonts w:ascii="Times New Roman" w:hAnsi="Times New Roman" w:cs="Times New Roman"/>
                <w:sz w:val="24"/>
                <w:szCs w:val="24"/>
              </w:rPr>
              <w:t>Vyučující: prof. PhDr. Tomáše Petráček, Ph.D., Th.D.</w:t>
            </w:r>
          </w:p>
          <w:p w:rsidR="007D04B6" w:rsidRDefault="007D04B6" w:rsidP="00B8117C">
            <w:pPr>
              <w:pStyle w:val="Odstavecseseznamem"/>
              <w:jc w:val="both"/>
              <w:rPr>
                <w:rFonts w:ascii="Times New Roman" w:hAnsi="Times New Roman" w:cs="Times New Roman"/>
              </w:rPr>
            </w:pPr>
          </w:p>
          <w:p w:rsidR="007D04B6" w:rsidRDefault="007D04B6" w:rsidP="00B8117C">
            <w:pPr>
              <w:pStyle w:val="Odstavecseseznamem"/>
              <w:jc w:val="both"/>
              <w:rPr>
                <w:rFonts w:ascii="Times New Roman" w:hAnsi="Times New Roman" w:cs="Times New Roman"/>
                <w:sz w:val="24"/>
                <w:szCs w:val="24"/>
              </w:rPr>
            </w:pPr>
          </w:p>
          <w:p w:rsidR="007D04B6" w:rsidRDefault="007D04B6" w:rsidP="00B8117C">
            <w:pPr>
              <w:jc w:val="both"/>
              <w:rPr>
                <w:b/>
                <w:sz w:val="24"/>
                <w:szCs w:val="24"/>
              </w:rPr>
            </w:pPr>
            <w:r>
              <w:rPr>
                <w:b/>
                <w:sz w:val="24"/>
                <w:szCs w:val="24"/>
              </w:rPr>
              <w:t xml:space="preserve">Státní doktorská závěrečná zkouška </w:t>
            </w:r>
          </w:p>
          <w:p w:rsidR="007D04B6" w:rsidRDefault="007D04B6" w:rsidP="00B8117C">
            <w:pPr>
              <w:jc w:val="both"/>
              <w:rPr>
                <w:sz w:val="24"/>
                <w:szCs w:val="24"/>
              </w:rPr>
            </w:pPr>
            <w:r>
              <w:rPr>
                <w:sz w:val="24"/>
                <w:szCs w:val="24"/>
              </w:rPr>
              <w:t xml:space="preserve">Státní doktorskou závěrečnou zkoušku je možné složit po splnění všech studijních povinností stanovených studijním plánem, tj. po získání předepsaných 240 kreditů (v případě odborných článků se za splnění studijní povinnosti považuje jejich přijetí do tisku). </w:t>
            </w:r>
          </w:p>
          <w:p w:rsidR="007D04B6" w:rsidRDefault="007D04B6" w:rsidP="00B8117C">
            <w:pPr>
              <w:jc w:val="both"/>
              <w:rPr>
                <w:sz w:val="24"/>
                <w:szCs w:val="24"/>
              </w:rPr>
            </w:pPr>
            <w:r w:rsidRPr="6C1FC44E">
              <w:rPr>
                <w:sz w:val="24"/>
                <w:szCs w:val="24"/>
              </w:rPr>
              <w:t xml:space="preserve">Státní doktorská zkouška ověřuje znalost konceptuálních, metodologických a tematických východisek studijního programu. Zkouška je vedena ústní a komisionální formou. Skládá se ze tří okruhů: první okruh reflektuje témata z oblasti filosofické a teologické antropologie, filosofie kultury, filosofie dějin a filosofie a teologie náboženství, druhý z oblasti historické religionistiky, filosofie výchovy a etiky a filosoficko- a teologicko-antropologické interpretace uměleckého díla. Třetí okruh podle je stanoven podle </w:t>
            </w:r>
            <w:r w:rsidRPr="6C1FC44E">
              <w:rPr>
                <w:i/>
                <w:iCs/>
                <w:sz w:val="24"/>
                <w:szCs w:val="24"/>
              </w:rPr>
              <w:t xml:space="preserve">Studijního a zkušebního řádu UHK </w:t>
            </w:r>
            <w:r w:rsidRPr="6C1FC44E">
              <w:rPr>
                <w:sz w:val="24"/>
                <w:szCs w:val="24"/>
              </w:rPr>
              <w:t>v úzké vazbě k tématu dizertační práce.</w:t>
            </w:r>
          </w:p>
          <w:p w:rsidR="007D04B6" w:rsidRDefault="007D04B6" w:rsidP="00B8117C">
            <w:pPr>
              <w:jc w:val="both"/>
              <w:rPr>
                <w:sz w:val="24"/>
                <w:szCs w:val="24"/>
              </w:rPr>
            </w:pPr>
          </w:p>
          <w:p w:rsidR="007D04B6" w:rsidRDefault="007D04B6" w:rsidP="00B8117C">
            <w:pPr>
              <w:jc w:val="both"/>
              <w:rPr>
                <w:b/>
                <w:sz w:val="24"/>
                <w:szCs w:val="24"/>
              </w:rPr>
            </w:pPr>
            <w:r>
              <w:rPr>
                <w:b/>
                <w:sz w:val="24"/>
                <w:szCs w:val="24"/>
              </w:rPr>
              <w:t>Obhajoba dizertační práce</w:t>
            </w:r>
          </w:p>
          <w:p w:rsidR="007D04B6" w:rsidRPr="00730E90" w:rsidRDefault="007D04B6" w:rsidP="00B8117C">
            <w:pPr>
              <w:jc w:val="both"/>
              <w:rPr>
                <w:sz w:val="24"/>
                <w:szCs w:val="24"/>
              </w:rPr>
            </w:pPr>
            <w:r>
              <w:rPr>
                <w:sz w:val="24"/>
                <w:szCs w:val="24"/>
              </w:rPr>
              <w:t xml:space="preserve">Obhajoba dizertační práce navazuje na státní doktorskou zkoušku. K obhajobě student předkládá vedle dokončené práce i autoreferát obsahující hlavní teze práce v rozsahu cca 20ns. V autoreferátu student zformuluje a zdůvodní vymezení problematiky práce, její hlavních výpovědí, metodologie a užitých zdrojů.   </w:t>
            </w:r>
          </w:p>
          <w:p w:rsidR="007D04B6" w:rsidRPr="00730E90" w:rsidRDefault="007D04B6" w:rsidP="00B8117C">
            <w:pPr>
              <w:jc w:val="both"/>
              <w:rPr>
                <w:sz w:val="24"/>
                <w:szCs w:val="24"/>
              </w:rPr>
            </w:pPr>
          </w:p>
          <w:p w:rsidR="007D04B6" w:rsidRPr="00FA2A29" w:rsidRDefault="007D04B6" w:rsidP="00B8117C">
            <w:pPr>
              <w:pStyle w:val="Odstavecseseznamem"/>
              <w:jc w:val="both"/>
              <w:rPr>
                <w:rFonts w:ascii="Times New Roman" w:eastAsia="Times New Roman" w:hAnsi="Times New Roman" w:cs="Times New Roman"/>
                <w:sz w:val="24"/>
                <w:szCs w:val="24"/>
              </w:rPr>
            </w:pPr>
          </w:p>
        </w:tc>
      </w:tr>
      <w:tr w:rsidR="007D04B6" w:rsidTr="00B8117C">
        <w:tc>
          <w:tcPr>
            <w:tcW w:w="3510" w:type="dxa"/>
            <w:shd w:val="clear" w:color="auto" w:fill="F7CAAC" w:themeFill="accent2" w:themeFillTint="66"/>
          </w:tcPr>
          <w:p w:rsidR="007D04B6" w:rsidRDefault="007D04B6" w:rsidP="00B8117C">
            <w:pPr>
              <w:jc w:val="both"/>
              <w:rPr>
                <w:b/>
              </w:rPr>
            </w:pPr>
            <w:r>
              <w:rPr>
                <w:b/>
              </w:rPr>
              <w:lastRenderedPageBreak/>
              <w:t>Požadavky na tvůrčí činnost</w:t>
            </w:r>
          </w:p>
        </w:tc>
        <w:tc>
          <w:tcPr>
            <w:tcW w:w="5775" w:type="dxa"/>
            <w:tcBorders>
              <w:bottom w:val="nil"/>
            </w:tcBorders>
          </w:tcPr>
          <w:p w:rsidR="007D04B6" w:rsidRDefault="007D04B6" w:rsidP="00B8117C">
            <w:pPr>
              <w:jc w:val="both"/>
            </w:pPr>
          </w:p>
        </w:tc>
      </w:tr>
      <w:tr w:rsidR="007D04B6" w:rsidTr="00B8117C">
        <w:trPr>
          <w:trHeight w:val="2165"/>
        </w:trPr>
        <w:tc>
          <w:tcPr>
            <w:tcW w:w="9285" w:type="dxa"/>
            <w:gridSpan w:val="2"/>
            <w:tcBorders>
              <w:top w:val="nil"/>
            </w:tcBorders>
          </w:tcPr>
          <w:p w:rsidR="007D04B6" w:rsidRDefault="007D04B6" w:rsidP="00B8117C">
            <w:pPr>
              <w:spacing w:before="120"/>
              <w:jc w:val="both"/>
              <w:rPr>
                <w:sz w:val="24"/>
                <w:szCs w:val="24"/>
              </w:rPr>
            </w:pPr>
            <w:r w:rsidRPr="4EDEAC65">
              <w:rPr>
                <w:sz w:val="24"/>
                <w:szCs w:val="24"/>
              </w:rPr>
              <w:t xml:space="preserve">Student v průběhu studia publikuje alespoň 3 články v recenzovaných odborných časopisech (adekvátní náhradu článku může tvořit kapitola v odborné knize). </w:t>
            </w:r>
          </w:p>
          <w:p w:rsidR="007D04B6" w:rsidRDefault="007D04B6" w:rsidP="00B8117C">
            <w:pPr>
              <w:spacing w:before="120"/>
              <w:jc w:val="both"/>
              <w:rPr>
                <w:sz w:val="24"/>
                <w:szCs w:val="24"/>
              </w:rPr>
            </w:pPr>
            <w:r w:rsidRPr="6C1FC44E">
              <w:rPr>
                <w:sz w:val="24"/>
                <w:szCs w:val="24"/>
              </w:rPr>
              <w:t xml:space="preserve">V souladu s profilem studijního programu (a členěním základních doktorských seminářů) je jeden z článků zaměřen na jednu s těchto oblastí: </w:t>
            </w:r>
            <w:r w:rsidRPr="6C1FC44E">
              <w:rPr>
                <w:color w:val="000000" w:themeColor="text1"/>
                <w:sz w:val="24"/>
                <w:szCs w:val="24"/>
              </w:rPr>
              <w:t xml:space="preserve">filosofická a teologická antropologie; filosofie kultury; filosofie dějin; filosofie a teologie náboženství. Další článek má být změřen na oblast historické religionistiky nebo filosofie výchovy a etiky nebo interpretace uměleckého díla ve filosofické a teologické perspektivě. </w:t>
            </w:r>
          </w:p>
          <w:p w:rsidR="007D04B6" w:rsidRDefault="007D04B6" w:rsidP="00B8117C">
            <w:pPr>
              <w:spacing w:before="120"/>
              <w:jc w:val="both"/>
              <w:rPr>
                <w:sz w:val="24"/>
                <w:szCs w:val="24"/>
              </w:rPr>
            </w:pPr>
            <w:r w:rsidRPr="6C1FC44E">
              <w:rPr>
                <w:sz w:val="24"/>
                <w:szCs w:val="24"/>
              </w:rPr>
              <w:lastRenderedPageBreak/>
              <w:t xml:space="preserve">Třetí článek koresponduje s hlavní tezí dizertační práce. Splnění požadavků na oborové či tematické zaměření článků posuzuje oborová rada. Každý z článku je hodnocen 20 kredity. </w:t>
            </w:r>
          </w:p>
          <w:p w:rsidR="007D04B6" w:rsidRDefault="007D04B6" w:rsidP="00B8117C">
            <w:pPr>
              <w:spacing w:before="120"/>
              <w:jc w:val="both"/>
              <w:rPr>
                <w:sz w:val="24"/>
                <w:szCs w:val="24"/>
              </w:rPr>
            </w:pPr>
            <w:r w:rsidRPr="6C1FC44E">
              <w:rPr>
                <w:sz w:val="24"/>
                <w:szCs w:val="24"/>
              </w:rPr>
              <w:t>Je doporučeno, aby část tvůrčí činnosti doktoranda byla realizována v rámci výzkumného projektu (zvláště specifického výzkumu) souvisejícího se zaměřením dizertační práce.</w:t>
            </w:r>
          </w:p>
          <w:p w:rsidR="007D04B6" w:rsidRDefault="007D04B6" w:rsidP="00B8117C">
            <w:pPr>
              <w:spacing w:before="120"/>
              <w:jc w:val="both"/>
              <w:rPr>
                <w:sz w:val="28"/>
                <w:szCs w:val="28"/>
              </w:rPr>
            </w:pPr>
          </w:p>
          <w:p w:rsidR="007D04B6" w:rsidRDefault="007D04B6" w:rsidP="00B8117C">
            <w:pPr>
              <w:spacing w:before="120"/>
              <w:jc w:val="both"/>
            </w:pPr>
          </w:p>
          <w:p w:rsidR="007D04B6" w:rsidRDefault="007D04B6" w:rsidP="00B8117C">
            <w:pPr>
              <w:spacing w:before="120"/>
              <w:jc w:val="both"/>
            </w:pPr>
          </w:p>
        </w:tc>
      </w:tr>
      <w:tr w:rsidR="007D04B6" w:rsidTr="00B8117C">
        <w:tc>
          <w:tcPr>
            <w:tcW w:w="3510" w:type="dxa"/>
            <w:shd w:val="clear" w:color="auto" w:fill="F7CAAC" w:themeFill="accent2" w:themeFillTint="66"/>
          </w:tcPr>
          <w:p w:rsidR="007D04B6" w:rsidRDefault="007D04B6" w:rsidP="00B8117C">
            <w:pPr>
              <w:rPr>
                <w:b/>
              </w:rPr>
            </w:pPr>
            <w:r>
              <w:rPr>
                <w:b/>
              </w:rPr>
              <w:lastRenderedPageBreak/>
              <w:t>Požadavky na absolvování stáží</w:t>
            </w:r>
          </w:p>
        </w:tc>
        <w:tc>
          <w:tcPr>
            <w:tcW w:w="5775" w:type="dxa"/>
            <w:tcBorders>
              <w:bottom w:val="nil"/>
            </w:tcBorders>
          </w:tcPr>
          <w:p w:rsidR="007D04B6" w:rsidRDefault="007D04B6" w:rsidP="00B8117C">
            <w:pPr>
              <w:jc w:val="both"/>
            </w:pPr>
          </w:p>
        </w:tc>
      </w:tr>
      <w:tr w:rsidR="007D04B6" w:rsidTr="00B8117C">
        <w:trPr>
          <w:trHeight w:val="1873"/>
        </w:trPr>
        <w:tc>
          <w:tcPr>
            <w:tcW w:w="9285" w:type="dxa"/>
            <w:gridSpan w:val="2"/>
            <w:tcBorders>
              <w:top w:val="nil"/>
            </w:tcBorders>
          </w:tcPr>
          <w:p w:rsidR="007D04B6" w:rsidRDefault="007D04B6" w:rsidP="00B8117C">
            <w:pPr>
              <w:spacing w:before="120"/>
              <w:jc w:val="both"/>
              <w:rPr>
                <w:sz w:val="24"/>
                <w:szCs w:val="24"/>
              </w:rPr>
            </w:pPr>
            <w:r w:rsidRPr="4EDEAC65">
              <w:rPr>
                <w:sz w:val="24"/>
                <w:szCs w:val="24"/>
              </w:rPr>
              <w:t>Student doktorského studijního programu absolvuje v rámci svého studia minimálně 2 jednoměsíční studijní pobyty na zahraničních akademických institucích. Tuto povinnost lze případně nahradit jedním souvislým studijním pobytem v délce min. 2 měsíce.</w:t>
            </w:r>
          </w:p>
          <w:p w:rsidR="007D04B6" w:rsidRDefault="007D04B6" w:rsidP="00B8117C">
            <w:pPr>
              <w:spacing w:before="120"/>
              <w:jc w:val="both"/>
              <w:rPr>
                <w:sz w:val="24"/>
                <w:szCs w:val="24"/>
              </w:rPr>
            </w:pPr>
            <w:r w:rsidRPr="6E96FE15">
              <w:rPr>
                <w:sz w:val="24"/>
                <w:szCs w:val="24"/>
              </w:rPr>
              <w:t xml:space="preserve">Po schválení oborovou radou je tuto povinnost možné splnit i na základě účasti v mezinárodním vědeckém projektu se zahraničními publikačními výstupy, případně na základě jiné vědecké činnosti (např. archivní výzkum) absolvované v zahraničí. </w:t>
            </w:r>
          </w:p>
          <w:p w:rsidR="007D04B6" w:rsidRDefault="007D04B6" w:rsidP="00B8117C">
            <w:pPr>
              <w:spacing w:before="120"/>
              <w:jc w:val="both"/>
              <w:rPr>
                <w:sz w:val="24"/>
                <w:szCs w:val="24"/>
              </w:rPr>
            </w:pPr>
            <w:r w:rsidRPr="6E96FE15">
              <w:rPr>
                <w:sz w:val="24"/>
                <w:szCs w:val="24"/>
              </w:rPr>
              <w:t>O splnění této studijní povinnosti jiným způsobem mohou oborovou radu požádat také studenti, kteří např. pečují o osobu blízkou a nemohou vycestovat nepřetržitě na dobu jednoho měsíce.</w:t>
            </w:r>
          </w:p>
          <w:p w:rsidR="007D04B6" w:rsidRDefault="007D04B6" w:rsidP="00B8117C">
            <w:pPr>
              <w:spacing w:before="120"/>
              <w:jc w:val="both"/>
            </w:pPr>
            <w:r w:rsidRPr="007A42F2">
              <w:rPr>
                <w:sz w:val="24"/>
                <w:szCs w:val="24"/>
              </w:rPr>
              <w:t xml:space="preserve">Absolvování zahraniční stáže – </w:t>
            </w:r>
            <w:r w:rsidRPr="00F72D7A">
              <w:rPr>
                <w:sz w:val="24"/>
                <w:szCs w:val="24"/>
              </w:rPr>
              <w:t>20 kreditů</w:t>
            </w:r>
          </w:p>
        </w:tc>
      </w:tr>
      <w:tr w:rsidR="007D04B6" w:rsidTr="00B8117C">
        <w:tc>
          <w:tcPr>
            <w:tcW w:w="3510" w:type="dxa"/>
            <w:shd w:val="clear" w:color="auto" w:fill="F7CAAC" w:themeFill="accent2" w:themeFillTint="66"/>
          </w:tcPr>
          <w:p w:rsidR="007D04B6" w:rsidRDefault="007D04B6" w:rsidP="00B8117C">
            <w:r>
              <w:rPr>
                <w:b/>
              </w:rPr>
              <w:t>Další studijní povinnosti</w:t>
            </w:r>
          </w:p>
        </w:tc>
        <w:tc>
          <w:tcPr>
            <w:tcW w:w="5775" w:type="dxa"/>
            <w:tcBorders>
              <w:bottom w:val="nil"/>
            </w:tcBorders>
            <w:shd w:val="clear" w:color="auto" w:fill="FFFFFF" w:themeFill="background1"/>
          </w:tcPr>
          <w:p w:rsidR="007D04B6" w:rsidRDefault="007D04B6" w:rsidP="00B8117C">
            <w:pPr>
              <w:jc w:val="center"/>
            </w:pPr>
          </w:p>
        </w:tc>
      </w:tr>
      <w:tr w:rsidR="007D04B6" w:rsidTr="00B8117C">
        <w:trPr>
          <w:trHeight w:val="1875"/>
        </w:trPr>
        <w:tc>
          <w:tcPr>
            <w:tcW w:w="9285" w:type="dxa"/>
            <w:gridSpan w:val="2"/>
            <w:tcBorders>
              <w:top w:val="nil"/>
            </w:tcBorders>
          </w:tcPr>
          <w:p w:rsidR="007D04B6" w:rsidRPr="00D856F7" w:rsidRDefault="007D04B6" w:rsidP="00B8117C">
            <w:pPr>
              <w:jc w:val="both"/>
              <w:rPr>
                <w:sz w:val="24"/>
                <w:szCs w:val="24"/>
              </w:rPr>
            </w:pPr>
            <w:r>
              <w:rPr>
                <w:sz w:val="24"/>
                <w:szCs w:val="24"/>
              </w:rPr>
              <w:t>Sou</w:t>
            </w:r>
            <w:r w:rsidRPr="6E96FE15">
              <w:rPr>
                <w:sz w:val="24"/>
                <w:szCs w:val="24"/>
              </w:rPr>
              <w:t>části individuálního studijního plánu studenta</w:t>
            </w:r>
            <w:r>
              <w:rPr>
                <w:sz w:val="24"/>
                <w:szCs w:val="24"/>
              </w:rPr>
              <w:t xml:space="preserve"> je</w:t>
            </w:r>
            <w:r w:rsidRPr="6E96FE15">
              <w:rPr>
                <w:sz w:val="24"/>
                <w:szCs w:val="24"/>
              </w:rPr>
              <w:t xml:space="preserve"> i zapojení do </w:t>
            </w:r>
            <w:r>
              <w:rPr>
                <w:sz w:val="24"/>
                <w:szCs w:val="24"/>
              </w:rPr>
              <w:t>pedagogické činnosti</w:t>
            </w:r>
            <w:r w:rsidRPr="6E96FE15">
              <w:rPr>
                <w:sz w:val="24"/>
                <w:szCs w:val="24"/>
              </w:rPr>
              <w:t xml:space="preserve"> na Katedře kulturních a náboženských studií. Rozsah výukové povinnosti</w:t>
            </w:r>
            <w:r>
              <w:rPr>
                <w:sz w:val="24"/>
                <w:szCs w:val="24"/>
              </w:rPr>
              <w:t xml:space="preserve">, její konkrétní podobu </w:t>
            </w:r>
            <w:r w:rsidRPr="6E96FE15">
              <w:rPr>
                <w:sz w:val="24"/>
                <w:szCs w:val="24"/>
              </w:rPr>
              <w:t>a konkrétní kurzy svěřené studentům doktorského studijního programu určuje oborová rada.</w:t>
            </w:r>
            <w:r>
              <w:rPr>
                <w:sz w:val="24"/>
                <w:szCs w:val="24"/>
              </w:rPr>
              <w:t xml:space="preserve"> </w:t>
            </w:r>
            <w:r w:rsidRPr="6E96FE15">
              <w:rPr>
                <w:sz w:val="24"/>
                <w:szCs w:val="24"/>
              </w:rPr>
              <w:t xml:space="preserve">K zapojení do výuky dochází vždy po předchozí konzultaci mezi studentem a školitelem a měla by představovat především možnost pro rozvoj odborných kompetencí studenta. </w:t>
            </w:r>
          </w:p>
        </w:tc>
      </w:tr>
      <w:tr w:rsidR="007D04B6" w:rsidTr="00B8117C">
        <w:tc>
          <w:tcPr>
            <w:tcW w:w="3510" w:type="dxa"/>
            <w:shd w:val="clear" w:color="auto" w:fill="F7CAAC" w:themeFill="accent2" w:themeFillTint="66"/>
          </w:tcPr>
          <w:p w:rsidR="007D04B6" w:rsidRDefault="007D04B6" w:rsidP="00B8117C">
            <w:r>
              <w:rPr>
                <w:b/>
              </w:rPr>
              <w:t>Návrh témat disertačních prací a témata obhájených prací</w:t>
            </w:r>
          </w:p>
        </w:tc>
        <w:tc>
          <w:tcPr>
            <w:tcW w:w="5775" w:type="dxa"/>
            <w:tcBorders>
              <w:bottom w:val="nil"/>
            </w:tcBorders>
            <w:shd w:val="clear" w:color="auto" w:fill="FFFFFF" w:themeFill="background1"/>
          </w:tcPr>
          <w:p w:rsidR="007D04B6" w:rsidRDefault="007D04B6" w:rsidP="00B8117C">
            <w:pPr>
              <w:jc w:val="center"/>
            </w:pPr>
          </w:p>
        </w:tc>
      </w:tr>
      <w:tr w:rsidR="007D04B6" w:rsidTr="00B8117C">
        <w:trPr>
          <w:trHeight w:val="3087"/>
        </w:trPr>
        <w:tc>
          <w:tcPr>
            <w:tcW w:w="9285" w:type="dxa"/>
            <w:gridSpan w:val="2"/>
            <w:tcBorders>
              <w:top w:val="nil"/>
            </w:tcBorders>
          </w:tcPr>
          <w:p w:rsidR="007D04B6" w:rsidRPr="00993BFC" w:rsidRDefault="007D04B6" w:rsidP="007D04B6">
            <w:pPr>
              <w:pStyle w:val="Odstavecseseznamem"/>
              <w:numPr>
                <w:ilvl w:val="0"/>
                <w:numId w:val="1"/>
              </w:numPr>
              <w:rPr>
                <w:rFonts w:ascii="Times New Roman" w:eastAsia="Times New Roman" w:hAnsi="Times New Roman" w:cs="Times New Roman"/>
                <w:color w:val="000000" w:themeColor="text1"/>
                <w:sz w:val="24"/>
                <w:szCs w:val="24"/>
              </w:rPr>
            </w:pPr>
            <w:r w:rsidRPr="6C1FC44E">
              <w:rPr>
                <w:rFonts w:ascii="Times New Roman" w:eastAsia="Times New Roman" w:hAnsi="Times New Roman" w:cs="Times New Roman"/>
                <w:color w:val="000000" w:themeColor="text1"/>
                <w:sz w:val="24"/>
                <w:szCs w:val="24"/>
              </w:rPr>
              <w:t>Společnost a epidemie v perspektivě historické religionistiky</w:t>
            </w:r>
          </w:p>
          <w:p w:rsidR="007D04B6" w:rsidRPr="00993BFC" w:rsidRDefault="007D04B6" w:rsidP="007D04B6">
            <w:pPr>
              <w:pStyle w:val="Odstavecseseznamem"/>
              <w:numPr>
                <w:ilvl w:val="0"/>
                <w:numId w:val="1"/>
              </w:numPr>
              <w:rPr>
                <w:rFonts w:ascii="Times New Roman" w:eastAsia="Times New Roman" w:hAnsi="Times New Roman" w:cs="Times New Roman"/>
                <w:color w:val="000000" w:themeColor="text1"/>
                <w:sz w:val="24"/>
                <w:szCs w:val="24"/>
              </w:rPr>
            </w:pPr>
            <w:r w:rsidRPr="6C1FC44E">
              <w:rPr>
                <w:rFonts w:ascii="Times New Roman" w:eastAsia="Times New Roman" w:hAnsi="Times New Roman" w:cs="Times New Roman"/>
                <w:color w:val="000000" w:themeColor="text1"/>
                <w:sz w:val="24"/>
                <w:szCs w:val="24"/>
              </w:rPr>
              <w:t>Historické proměny fenoménu hodnotových střetů v západní společnosti</w:t>
            </w:r>
          </w:p>
          <w:p w:rsidR="007D04B6" w:rsidRPr="00993BFC" w:rsidRDefault="007D04B6" w:rsidP="007D04B6">
            <w:pPr>
              <w:pStyle w:val="Odstavecseseznamem"/>
              <w:numPr>
                <w:ilvl w:val="0"/>
                <w:numId w:val="1"/>
              </w:numPr>
              <w:rPr>
                <w:rFonts w:ascii="Times New Roman" w:eastAsia="Times New Roman" w:hAnsi="Times New Roman" w:cs="Times New Roman"/>
                <w:color w:val="000000" w:themeColor="text1"/>
                <w:sz w:val="24"/>
                <w:szCs w:val="24"/>
              </w:rPr>
            </w:pPr>
            <w:r w:rsidRPr="6C1FC44E">
              <w:rPr>
                <w:rFonts w:ascii="Times New Roman" w:eastAsia="Times New Roman" w:hAnsi="Times New Roman" w:cs="Times New Roman"/>
                <w:color w:val="000000" w:themeColor="text1"/>
                <w:sz w:val="24"/>
                <w:szCs w:val="24"/>
              </w:rPr>
              <w:t xml:space="preserve">Křesťanský tradicionalismus jako protestní hodnotové hnutí </w:t>
            </w:r>
          </w:p>
          <w:p w:rsidR="007D04B6" w:rsidRPr="00993BFC" w:rsidRDefault="007D04B6" w:rsidP="007D04B6">
            <w:pPr>
              <w:pStyle w:val="Odstavecseseznamem"/>
              <w:numPr>
                <w:ilvl w:val="0"/>
                <w:numId w:val="1"/>
              </w:numPr>
              <w:rPr>
                <w:rFonts w:ascii="Times New Roman" w:eastAsia="Times New Roman" w:hAnsi="Times New Roman" w:cs="Times New Roman"/>
                <w:color w:val="000000"/>
                <w:sz w:val="24"/>
                <w:szCs w:val="24"/>
              </w:rPr>
            </w:pPr>
            <w:r w:rsidRPr="6C1FC44E">
              <w:rPr>
                <w:rFonts w:ascii="Times New Roman" w:eastAsia="Times New Roman" w:hAnsi="Times New Roman" w:cs="Times New Roman"/>
                <w:color w:val="000000" w:themeColor="text1"/>
                <w:sz w:val="24"/>
                <w:szCs w:val="24"/>
              </w:rPr>
              <w:t>Existenciální pohyb člověka v tzv. noetické trilogii Karla Čapka</w:t>
            </w:r>
          </w:p>
          <w:p w:rsidR="007D04B6" w:rsidRPr="00993BFC" w:rsidRDefault="007D04B6" w:rsidP="007D04B6">
            <w:pPr>
              <w:pStyle w:val="Odstavecseseznamem"/>
              <w:numPr>
                <w:ilvl w:val="0"/>
                <w:numId w:val="1"/>
              </w:numPr>
              <w:rPr>
                <w:rFonts w:ascii="Times New Roman" w:eastAsia="Times New Roman" w:hAnsi="Times New Roman" w:cs="Times New Roman"/>
                <w:color w:val="000000"/>
                <w:sz w:val="24"/>
                <w:szCs w:val="24"/>
              </w:rPr>
            </w:pPr>
            <w:r w:rsidRPr="6C1FC44E">
              <w:rPr>
                <w:rFonts w:ascii="Times New Roman" w:eastAsia="Times New Roman" w:hAnsi="Times New Roman" w:cs="Times New Roman"/>
                <w:color w:val="000000" w:themeColor="text1"/>
                <w:sz w:val="24"/>
                <w:szCs w:val="24"/>
              </w:rPr>
              <w:t>Zločin, trest a smíření ve filmu DeUsynlige (2008) a v sérii The Victim (2019): dvě podoby filmového ztvárnění vztahu matky k vrahovi svého dítěte</w:t>
            </w:r>
          </w:p>
          <w:p w:rsidR="007D04B6" w:rsidRPr="00993BFC" w:rsidRDefault="007D04B6" w:rsidP="007D04B6">
            <w:pPr>
              <w:pStyle w:val="Odstavecseseznamem"/>
              <w:numPr>
                <w:ilvl w:val="0"/>
                <w:numId w:val="1"/>
              </w:numPr>
              <w:rPr>
                <w:rFonts w:ascii="Times New Roman" w:eastAsia="Times New Roman" w:hAnsi="Times New Roman" w:cs="Times New Roman"/>
                <w:color w:val="000000"/>
                <w:sz w:val="24"/>
                <w:szCs w:val="24"/>
              </w:rPr>
            </w:pPr>
            <w:r w:rsidRPr="6C1FC44E">
              <w:rPr>
                <w:rFonts w:ascii="Times New Roman" w:eastAsia="Times New Roman" w:hAnsi="Times New Roman" w:cs="Times New Roman"/>
                <w:color w:val="000000" w:themeColor="text1"/>
                <w:sz w:val="24"/>
                <w:szCs w:val="24"/>
              </w:rPr>
              <w:t>Mezi samotou a soudržností: reprezentace svébytnosti a vztahovosti lidské osoby ve filmech Baltasara Kormákura Hluboko a Svatba za bílé noci</w:t>
            </w:r>
          </w:p>
          <w:p w:rsidR="007D04B6" w:rsidRPr="00993BFC" w:rsidRDefault="007D04B6" w:rsidP="007D04B6">
            <w:pPr>
              <w:pStyle w:val="Odstavecseseznamem"/>
              <w:numPr>
                <w:ilvl w:val="0"/>
                <w:numId w:val="1"/>
              </w:numPr>
              <w:rPr>
                <w:rFonts w:ascii="Times New Roman" w:eastAsia="Times New Roman" w:hAnsi="Times New Roman" w:cs="Times New Roman"/>
                <w:color w:val="000000" w:themeColor="text1"/>
                <w:sz w:val="24"/>
                <w:szCs w:val="24"/>
              </w:rPr>
            </w:pPr>
            <w:r w:rsidRPr="6C1FC44E">
              <w:rPr>
                <w:rFonts w:ascii="Times New Roman" w:eastAsia="Times New Roman" w:hAnsi="Times New Roman" w:cs="Times New Roman"/>
                <w:color w:val="000000" w:themeColor="text1"/>
                <w:sz w:val="24"/>
                <w:szCs w:val="24"/>
              </w:rPr>
              <w:t>Morální charakter jako edukační problém v současné anglosaské etice</w:t>
            </w:r>
          </w:p>
          <w:p w:rsidR="007D04B6" w:rsidRPr="00993BFC" w:rsidRDefault="007D04B6" w:rsidP="007D04B6">
            <w:pPr>
              <w:pStyle w:val="Odstavecseseznamem"/>
              <w:numPr>
                <w:ilvl w:val="0"/>
                <w:numId w:val="1"/>
              </w:numPr>
              <w:rPr>
                <w:rFonts w:ascii="Times New Roman" w:eastAsia="Times New Roman" w:hAnsi="Times New Roman" w:cs="Times New Roman"/>
                <w:color w:val="000000" w:themeColor="text1"/>
                <w:sz w:val="24"/>
                <w:szCs w:val="24"/>
              </w:rPr>
            </w:pPr>
            <w:r w:rsidRPr="6C1FC44E">
              <w:rPr>
                <w:rFonts w:ascii="Times New Roman" w:eastAsia="Times New Roman" w:hAnsi="Times New Roman" w:cs="Times New Roman"/>
                <w:color w:val="000000" w:themeColor="text1"/>
                <w:sz w:val="24"/>
                <w:szCs w:val="24"/>
              </w:rPr>
              <w:t xml:space="preserve">Antropologická východiska </w:t>
            </w:r>
            <w:proofErr w:type="gramStart"/>
            <w:r w:rsidRPr="6C1FC44E">
              <w:rPr>
                <w:rFonts w:ascii="Times New Roman" w:eastAsia="Times New Roman" w:hAnsi="Times New Roman" w:cs="Times New Roman"/>
                <w:color w:val="000000" w:themeColor="text1"/>
                <w:sz w:val="24"/>
                <w:szCs w:val="24"/>
              </w:rPr>
              <w:t>edukace - komeniologické</w:t>
            </w:r>
            <w:proofErr w:type="gramEnd"/>
            <w:r w:rsidRPr="6C1FC44E">
              <w:rPr>
                <w:rFonts w:ascii="Times New Roman" w:eastAsia="Times New Roman" w:hAnsi="Times New Roman" w:cs="Times New Roman"/>
                <w:color w:val="000000" w:themeColor="text1"/>
                <w:sz w:val="24"/>
                <w:szCs w:val="24"/>
              </w:rPr>
              <w:t xml:space="preserve"> perspektivy</w:t>
            </w:r>
          </w:p>
          <w:p w:rsidR="007D04B6" w:rsidRDefault="007D04B6" w:rsidP="007D04B6">
            <w:pPr>
              <w:pStyle w:val="Odstavecseseznamem"/>
              <w:numPr>
                <w:ilvl w:val="0"/>
                <w:numId w:val="1"/>
              </w:numPr>
              <w:rPr>
                <w:rFonts w:ascii="Times New Roman" w:eastAsia="Times New Roman" w:hAnsi="Times New Roman" w:cs="Times New Roman"/>
                <w:color w:val="000000" w:themeColor="text1"/>
                <w:sz w:val="24"/>
                <w:szCs w:val="24"/>
              </w:rPr>
            </w:pPr>
            <w:r w:rsidRPr="6C1FC44E">
              <w:rPr>
                <w:rFonts w:ascii="Times New Roman" w:eastAsia="Times New Roman" w:hAnsi="Times New Roman" w:cs="Times New Roman"/>
                <w:color w:val="000000" w:themeColor="text1"/>
                <w:sz w:val="24"/>
                <w:szCs w:val="24"/>
              </w:rPr>
              <w:t>Soulad a konflikt v myšlení V. Whita a C. G. Junga: zrání člověka v silovém poli mezi analytickou psychologií a křesťanskou teologií</w:t>
            </w:r>
          </w:p>
        </w:tc>
      </w:tr>
    </w:tbl>
    <w:p w:rsidR="007D04B6" w:rsidRDefault="007D04B6" w:rsidP="007D04B6"/>
    <w:p w:rsidR="007D04B6" w:rsidRDefault="007D04B6" w:rsidP="007D04B6">
      <w:pPr>
        <w:jc w:val="both"/>
        <w:rPr>
          <w:b/>
          <w:bCs/>
          <w:sz w:val="24"/>
          <w:szCs w:val="24"/>
        </w:rPr>
      </w:pPr>
    </w:p>
    <w:p w:rsidR="00784A62" w:rsidRDefault="00784A62">
      <w:bookmarkStart w:id="0" w:name="_GoBack"/>
      <w:bookmarkEnd w:id="0"/>
    </w:p>
    <w:sectPr w:rsidR="00784A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B5DB7"/>
    <w:multiLevelType w:val="hybridMultilevel"/>
    <w:tmpl w:val="FB0A55E6"/>
    <w:lvl w:ilvl="0" w:tplc="D402E78C">
      <w:start w:val="1"/>
      <w:numFmt w:val="bullet"/>
      <w:lvlText w:val=""/>
      <w:lvlJc w:val="left"/>
      <w:pPr>
        <w:ind w:left="720" w:hanging="360"/>
      </w:pPr>
      <w:rPr>
        <w:rFonts w:ascii="Symbol" w:hAnsi="Symbol" w:hint="default"/>
      </w:rPr>
    </w:lvl>
    <w:lvl w:ilvl="1" w:tplc="91120B1E">
      <w:start w:val="1"/>
      <w:numFmt w:val="bullet"/>
      <w:lvlText w:val="o"/>
      <w:lvlJc w:val="left"/>
      <w:pPr>
        <w:ind w:left="1440" w:hanging="360"/>
      </w:pPr>
      <w:rPr>
        <w:rFonts w:ascii="Courier New" w:hAnsi="Courier New" w:hint="default"/>
      </w:rPr>
    </w:lvl>
    <w:lvl w:ilvl="2" w:tplc="F16A140E">
      <w:start w:val="1"/>
      <w:numFmt w:val="bullet"/>
      <w:lvlText w:val=""/>
      <w:lvlJc w:val="left"/>
      <w:pPr>
        <w:ind w:left="2160" w:hanging="360"/>
      </w:pPr>
      <w:rPr>
        <w:rFonts w:ascii="Wingdings" w:hAnsi="Wingdings" w:hint="default"/>
      </w:rPr>
    </w:lvl>
    <w:lvl w:ilvl="3" w:tplc="C9323FB2">
      <w:start w:val="1"/>
      <w:numFmt w:val="bullet"/>
      <w:lvlText w:val=""/>
      <w:lvlJc w:val="left"/>
      <w:pPr>
        <w:ind w:left="2880" w:hanging="360"/>
      </w:pPr>
      <w:rPr>
        <w:rFonts w:ascii="Symbol" w:hAnsi="Symbol" w:hint="default"/>
      </w:rPr>
    </w:lvl>
    <w:lvl w:ilvl="4" w:tplc="1506E3E6">
      <w:start w:val="1"/>
      <w:numFmt w:val="bullet"/>
      <w:lvlText w:val="o"/>
      <w:lvlJc w:val="left"/>
      <w:pPr>
        <w:ind w:left="3600" w:hanging="360"/>
      </w:pPr>
      <w:rPr>
        <w:rFonts w:ascii="Courier New" w:hAnsi="Courier New" w:hint="default"/>
      </w:rPr>
    </w:lvl>
    <w:lvl w:ilvl="5" w:tplc="9962C8BA">
      <w:start w:val="1"/>
      <w:numFmt w:val="bullet"/>
      <w:lvlText w:val=""/>
      <w:lvlJc w:val="left"/>
      <w:pPr>
        <w:ind w:left="4320" w:hanging="360"/>
      </w:pPr>
      <w:rPr>
        <w:rFonts w:ascii="Wingdings" w:hAnsi="Wingdings" w:hint="default"/>
      </w:rPr>
    </w:lvl>
    <w:lvl w:ilvl="6" w:tplc="31A868C8">
      <w:start w:val="1"/>
      <w:numFmt w:val="bullet"/>
      <w:lvlText w:val=""/>
      <w:lvlJc w:val="left"/>
      <w:pPr>
        <w:ind w:left="5040" w:hanging="360"/>
      </w:pPr>
      <w:rPr>
        <w:rFonts w:ascii="Symbol" w:hAnsi="Symbol" w:hint="default"/>
      </w:rPr>
    </w:lvl>
    <w:lvl w:ilvl="7" w:tplc="4A26F3B4">
      <w:start w:val="1"/>
      <w:numFmt w:val="bullet"/>
      <w:lvlText w:val="o"/>
      <w:lvlJc w:val="left"/>
      <w:pPr>
        <w:ind w:left="5760" w:hanging="360"/>
      </w:pPr>
      <w:rPr>
        <w:rFonts w:ascii="Courier New" w:hAnsi="Courier New" w:hint="default"/>
      </w:rPr>
    </w:lvl>
    <w:lvl w:ilvl="8" w:tplc="C502888E">
      <w:start w:val="1"/>
      <w:numFmt w:val="bullet"/>
      <w:lvlText w:val=""/>
      <w:lvlJc w:val="left"/>
      <w:pPr>
        <w:ind w:left="6480" w:hanging="360"/>
      </w:pPr>
      <w:rPr>
        <w:rFonts w:ascii="Wingdings" w:hAnsi="Wingdings" w:hint="default"/>
      </w:rPr>
    </w:lvl>
  </w:abstractNum>
  <w:abstractNum w:abstractNumId="1" w15:restartNumberingAfterBreak="0">
    <w:nsid w:val="1D627DF4"/>
    <w:multiLevelType w:val="hybridMultilevel"/>
    <w:tmpl w:val="AF4C7D08"/>
    <w:lvl w:ilvl="0" w:tplc="3D0C3E6A">
      <w:start w:val="1"/>
      <w:numFmt w:val="bullet"/>
      <w:lvlText w:val=""/>
      <w:lvlJc w:val="left"/>
      <w:pPr>
        <w:ind w:left="720" w:hanging="360"/>
      </w:pPr>
      <w:rPr>
        <w:rFonts w:ascii="Symbol" w:hAnsi="Symbol" w:hint="default"/>
      </w:rPr>
    </w:lvl>
    <w:lvl w:ilvl="1" w:tplc="E774F334">
      <w:start w:val="1"/>
      <w:numFmt w:val="bullet"/>
      <w:lvlText w:val="o"/>
      <w:lvlJc w:val="left"/>
      <w:pPr>
        <w:ind w:left="1440" w:hanging="360"/>
      </w:pPr>
      <w:rPr>
        <w:rFonts w:ascii="Courier New" w:hAnsi="Courier New" w:hint="default"/>
      </w:rPr>
    </w:lvl>
    <w:lvl w:ilvl="2" w:tplc="AADC6E9C">
      <w:start w:val="1"/>
      <w:numFmt w:val="bullet"/>
      <w:lvlText w:val=""/>
      <w:lvlJc w:val="left"/>
      <w:pPr>
        <w:ind w:left="2160" w:hanging="360"/>
      </w:pPr>
      <w:rPr>
        <w:rFonts w:ascii="Wingdings" w:hAnsi="Wingdings" w:hint="default"/>
      </w:rPr>
    </w:lvl>
    <w:lvl w:ilvl="3" w:tplc="F01877C0">
      <w:start w:val="1"/>
      <w:numFmt w:val="bullet"/>
      <w:lvlText w:val=""/>
      <w:lvlJc w:val="left"/>
      <w:pPr>
        <w:ind w:left="2880" w:hanging="360"/>
      </w:pPr>
      <w:rPr>
        <w:rFonts w:ascii="Symbol" w:hAnsi="Symbol" w:hint="default"/>
      </w:rPr>
    </w:lvl>
    <w:lvl w:ilvl="4" w:tplc="A53EA732">
      <w:start w:val="1"/>
      <w:numFmt w:val="bullet"/>
      <w:lvlText w:val="o"/>
      <w:lvlJc w:val="left"/>
      <w:pPr>
        <w:ind w:left="3600" w:hanging="360"/>
      </w:pPr>
      <w:rPr>
        <w:rFonts w:ascii="Courier New" w:hAnsi="Courier New" w:hint="default"/>
      </w:rPr>
    </w:lvl>
    <w:lvl w:ilvl="5" w:tplc="A000C018">
      <w:start w:val="1"/>
      <w:numFmt w:val="bullet"/>
      <w:lvlText w:val=""/>
      <w:lvlJc w:val="left"/>
      <w:pPr>
        <w:ind w:left="4320" w:hanging="360"/>
      </w:pPr>
      <w:rPr>
        <w:rFonts w:ascii="Wingdings" w:hAnsi="Wingdings" w:hint="default"/>
      </w:rPr>
    </w:lvl>
    <w:lvl w:ilvl="6" w:tplc="E59AD7A6">
      <w:start w:val="1"/>
      <w:numFmt w:val="bullet"/>
      <w:lvlText w:val=""/>
      <w:lvlJc w:val="left"/>
      <w:pPr>
        <w:ind w:left="5040" w:hanging="360"/>
      </w:pPr>
      <w:rPr>
        <w:rFonts w:ascii="Symbol" w:hAnsi="Symbol" w:hint="default"/>
      </w:rPr>
    </w:lvl>
    <w:lvl w:ilvl="7" w:tplc="9EA0D43C">
      <w:start w:val="1"/>
      <w:numFmt w:val="bullet"/>
      <w:lvlText w:val="o"/>
      <w:lvlJc w:val="left"/>
      <w:pPr>
        <w:ind w:left="5760" w:hanging="360"/>
      </w:pPr>
      <w:rPr>
        <w:rFonts w:ascii="Courier New" w:hAnsi="Courier New" w:hint="default"/>
      </w:rPr>
    </w:lvl>
    <w:lvl w:ilvl="8" w:tplc="C2441C4A">
      <w:start w:val="1"/>
      <w:numFmt w:val="bullet"/>
      <w:lvlText w:val=""/>
      <w:lvlJc w:val="left"/>
      <w:pPr>
        <w:ind w:left="6480" w:hanging="360"/>
      </w:pPr>
      <w:rPr>
        <w:rFonts w:ascii="Wingdings" w:hAnsi="Wingdings" w:hint="default"/>
      </w:rPr>
    </w:lvl>
  </w:abstractNum>
  <w:abstractNum w:abstractNumId="2" w15:restartNumberingAfterBreak="0">
    <w:nsid w:val="22AA087A"/>
    <w:multiLevelType w:val="hybridMultilevel"/>
    <w:tmpl w:val="E81C24AA"/>
    <w:lvl w:ilvl="0" w:tplc="F40E71D2">
      <w:start w:val="1"/>
      <w:numFmt w:val="bullet"/>
      <w:lvlText w:val=""/>
      <w:lvlJc w:val="left"/>
      <w:pPr>
        <w:ind w:left="720" w:hanging="360"/>
      </w:pPr>
      <w:rPr>
        <w:rFonts w:ascii="Symbol" w:hAnsi="Symbol" w:hint="default"/>
      </w:rPr>
    </w:lvl>
    <w:lvl w:ilvl="1" w:tplc="E9585B5C">
      <w:start w:val="1"/>
      <w:numFmt w:val="bullet"/>
      <w:lvlText w:val="o"/>
      <w:lvlJc w:val="left"/>
      <w:pPr>
        <w:ind w:left="1440" w:hanging="360"/>
      </w:pPr>
      <w:rPr>
        <w:rFonts w:ascii="Courier New" w:hAnsi="Courier New" w:hint="default"/>
      </w:rPr>
    </w:lvl>
    <w:lvl w:ilvl="2" w:tplc="350EA890">
      <w:start w:val="1"/>
      <w:numFmt w:val="bullet"/>
      <w:lvlText w:val=""/>
      <w:lvlJc w:val="left"/>
      <w:pPr>
        <w:ind w:left="2160" w:hanging="360"/>
      </w:pPr>
      <w:rPr>
        <w:rFonts w:ascii="Wingdings" w:hAnsi="Wingdings" w:hint="default"/>
      </w:rPr>
    </w:lvl>
    <w:lvl w:ilvl="3" w:tplc="1BB8E362">
      <w:start w:val="1"/>
      <w:numFmt w:val="bullet"/>
      <w:lvlText w:val=""/>
      <w:lvlJc w:val="left"/>
      <w:pPr>
        <w:ind w:left="2880" w:hanging="360"/>
      </w:pPr>
      <w:rPr>
        <w:rFonts w:ascii="Symbol" w:hAnsi="Symbol" w:hint="default"/>
      </w:rPr>
    </w:lvl>
    <w:lvl w:ilvl="4" w:tplc="B50E731C">
      <w:start w:val="1"/>
      <w:numFmt w:val="bullet"/>
      <w:lvlText w:val="o"/>
      <w:lvlJc w:val="left"/>
      <w:pPr>
        <w:ind w:left="3600" w:hanging="360"/>
      </w:pPr>
      <w:rPr>
        <w:rFonts w:ascii="Courier New" w:hAnsi="Courier New" w:hint="default"/>
      </w:rPr>
    </w:lvl>
    <w:lvl w:ilvl="5" w:tplc="842E40B0">
      <w:start w:val="1"/>
      <w:numFmt w:val="bullet"/>
      <w:lvlText w:val=""/>
      <w:lvlJc w:val="left"/>
      <w:pPr>
        <w:ind w:left="4320" w:hanging="360"/>
      </w:pPr>
      <w:rPr>
        <w:rFonts w:ascii="Wingdings" w:hAnsi="Wingdings" w:hint="default"/>
      </w:rPr>
    </w:lvl>
    <w:lvl w:ilvl="6" w:tplc="FC4C8574">
      <w:start w:val="1"/>
      <w:numFmt w:val="bullet"/>
      <w:lvlText w:val=""/>
      <w:lvlJc w:val="left"/>
      <w:pPr>
        <w:ind w:left="5040" w:hanging="360"/>
      </w:pPr>
      <w:rPr>
        <w:rFonts w:ascii="Symbol" w:hAnsi="Symbol" w:hint="default"/>
      </w:rPr>
    </w:lvl>
    <w:lvl w:ilvl="7" w:tplc="40509FCC">
      <w:start w:val="1"/>
      <w:numFmt w:val="bullet"/>
      <w:lvlText w:val="o"/>
      <w:lvlJc w:val="left"/>
      <w:pPr>
        <w:ind w:left="5760" w:hanging="360"/>
      </w:pPr>
      <w:rPr>
        <w:rFonts w:ascii="Courier New" w:hAnsi="Courier New" w:hint="default"/>
      </w:rPr>
    </w:lvl>
    <w:lvl w:ilvl="8" w:tplc="CF8E2A98">
      <w:start w:val="1"/>
      <w:numFmt w:val="bullet"/>
      <w:lvlText w:val=""/>
      <w:lvlJc w:val="left"/>
      <w:pPr>
        <w:ind w:left="6480" w:hanging="360"/>
      </w:pPr>
      <w:rPr>
        <w:rFonts w:ascii="Wingdings" w:hAnsi="Wingdings" w:hint="default"/>
      </w:rPr>
    </w:lvl>
  </w:abstractNum>
  <w:abstractNum w:abstractNumId="3" w15:restartNumberingAfterBreak="0">
    <w:nsid w:val="34B846AD"/>
    <w:multiLevelType w:val="hybridMultilevel"/>
    <w:tmpl w:val="20D4DFDC"/>
    <w:lvl w:ilvl="0" w:tplc="91B2F1FA">
      <w:start w:val="1"/>
      <w:numFmt w:val="bullet"/>
      <w:lvlText w:val=""/>
      <w:lvlJc w:val="left"/>
      <w:pPr>
        <w:ind w:left="720" w:hanging="360"/>
      </w:pPr>
      <w:rPr>
        <w:rFonts w:ascii="Symbol" w:hAnsi="Symbol" w:hint="default"/>
      </w:rPr>
    </w:lvl>
    <w:lvl w:ilvl="1" w:tplc="CE924F78">
      <w:start w:val="1"/>
      <w:numFmt w:val="bullet"/>
      <w:lvlText w:val="o"/>
      <w:lvlJc w:val="left"/>
      <w:pPr>
        <w:ind w:left="1440" w:hanging="360"/>
      </w:pPr>
      <w:rPr>
        <w:rFonts w:ascii="Courier New" w:hAnsi="Courier New" w:hint="default"/>
      </w:rPr>
    </w:lvl>
    <w:lvl w:ilvl="2" w:tplc="3274E790">
      <w:start w:val="1"/>
      <w:numFmt w:val="bullet"/>
      <w:lvlText w:val=""/>
      <w:lvlJc w:val="left"/>
      <w:pPr>
        <w:ind w:left="2160" w:hanging="360"/>
      </w:pPr>
      <w:rPr>
        <w:rFonts w:ascii="Wingdings" w:hAnsi="Wingdings" w:hint="default"/>
      </w:rPr>
    </w:lvl>
    <w:lvl w:ilvl="3" w:tplc="2D9E68EE">
      <w:start w:val="1"/>
      <w:numFmt w:val="bullet"/>
      <w:lvlText w:val=""/>
      <w:lvlJc w:val="left"/>
      <w:pPr>
        <w:ind w:left="2880" w:hanging="360"/>
      </w:pPr>
      <w:rPr>
        <w:rFonts w:ascii="Symbol" w:hAnsi="Symbol" w:hint="default"/>
      </w:rPr>
    </w:lvl>
    <w:lvl w:ilvl="4" w:tplc="E7CE492E">
      <w:start w:val="1"/>
      <w:numFmt w:val="bullet"/>
      <w:lvlText w:val="o"/>
      <w:lvlJc w:val="left"/>
      <w:pPr>
        <w:ind w:left="3600" w:hanging="360"/>
      </w:pPr>
      <w:rPr>
        <w:rFonts w:ascii="Courier New" w:hAnsi="Courier New" w:hint="default"/>
      </w:rPr>
    </w:lvl>
    <w:lvl w:ilvl="5" w:tplc="F8A6ADA4">
      <w:start w:val="1"/>
      <w:numFmt w:val="bullet"/>
      <w:lvlText w:val=""/>
      <w:lvlJc w:val="left"/>
      <w:pPr>
        <w:ind w:left="4320" w:hanging="360"/>
      </w:pPr>
      <w:rPr>
        <w:rFonts w:ascii="Wingdings" w:hAnsi="Wingdings" w:hint="default"/>
      </w:rPr>
    </w:lvl>
    <w:lvl w:ilvl="6" w:tplc="FF56236E">
      <w:start w:val="1"/>
      <w:numFmt w:val="bullet"/>
      <w:lvlText w:val=""/>
      <w:lvlJc w:val="left"/>
      <w:pPr>
        <w:ind w:left="5040" w:hanging="360"/>
      </w:pPr>
      <w:rPr>
        <w:rFonts w:ascii="Symbol" w:hAnsi="Symbol" w:hint="default"/>
      </w:rPr>
    </w:lvl>
    <w:lvl w:ilvl="7" w:tplc="8E9A4A5A">
      <w:start w:val="1"/>
      <w:numFmt w:val="bullet"/>
      <w:lvlText w:val="o"/>
      <w:lvlJc w:val="left"/>
      <w:pPr>
        <w:ind w:left="5760" w:hanging="360"/>
      </w:pPr>
      <w:rPr>
        <w:rFonts w:ascii="Courier New" w:hAnsi="Courier New" w:hint="default"/>
      </w:rPr>
    </w:lvl>
    <w:lvl w:ilvl="8" w:tplc="D33C381A">
      <w:start w:val="1"/>
      <w:numFmt w:val="bullet"/>
      <w:lvlText w:val=""/>
      <w:lvlJc w:val="left"/>
      <w:pPr>
        <w:ind w:left="6480" w:hanging="360"/>
      </w:pPr>
      <w:rPr>
        <w:rFonts w:ascii="Wingdings" w:hAnsi="Wingdings" w:hint="default"/>
      </w:rPr>
    </w:lvl>
  </w:abstractNum>
  <w:abstractNum w:abstractNumId="4" w15:restartNumberingAfterBreak="0">
    <w:nsid w:val="41B90BC0"/>
    <w:multiLevelType w:val="hybridMultilevel"/>
    <w:tmpl w:val="1220DC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4694F75"/>
    <w:multiLevelType w:val="hybridMultilevel"/>
    <w:tmpl w:val="0C6E1BCC"/>
    <w:lvl w:ilvl="0" w:tplc="CBC254C0">
      <w:start w:val="1"/>
      <w:numFmt w:val="bullet"/>
      <w:lvlText w:val=""/>
      <w:lvlJc w:val="left"/>
      <w:pPr>
        <w:ind w:left="720" w:hanging="360"/>
      </w:pPr>
      <w:rPr>
        <w:rFonts w:ascii="Symbol" w:hAnsi="Symbol" w:hint="default"/>
      </w:rPr>
    </w:lvl>
    <w:lvl w:ilvl="1" w:tplc="BFB2B2B0">
      <w:start w:val="1"/>
      <w:numFmt w:val="bullet"/>
      <w:lvlText w:val="o"/>
      <w:lvlJc w:val="left"/>
      <w:pPr>
        <w:ind w:left="1440" w:hanging="360"/>
      </w:pPr>
      <w:rPr>
        <w:rFonts w:ascii="Courier New" w:hAnsi="Courier New" w:hint="default"/>
      </w:rPr>
    </w:lvl>
    <w:lvl w:ilvl="2" w:tplc="92CC35E6">
      <w:start w:val="1"/>
      <w:numFmt w:val="bullet"/>
      <w:lvlText w:val=""/>
      <w:lvlJc w:val="left"/>
      <w:pPr>
        <w:ind w:left="2160" w:hanging="360"/>
      </w:pPr>
      <w:rPr>
        <w:rFonts w:ascii="Wingdings" w:hAnsi="Wingdings" w:hint="default"/>
      </w:rPr>
    </w:lvl>
    <w:lvl w:ilvl="3" w:tplc="0D7EEB40">
      <w:start w:val="1"/>
      <w:numFmt w:val="bullet"/>
      <w:lvlText w:val=""/>
      <w:lvlJc w:val="left"/>
      <w:pPr>
        <w:ind w:left="2880" w:hanging="360"/>
      </w:pPr>
      <w:rPr>
        <w:rFonts w:ascii="Symbol" w:hAnsi="Symbol" w:hint="default"/>
      </w:rPr>
    </w:lvl>
    <w:lvl w:ilvl="4" w:tplc="B3D226F2">
      <w:start w:val="1"/>
      <w:numFmt w:val="bullet"/>
      <w:lvlText w:val="o"/>
      <w:lvlJc w:val="left"/>
      <w:pPr>
        <w:ind w:left="3600" w:hanging="360"/>
      </w:pPr>
      <w:rPr>
        <w:rFonts w:ascii="Courier New" w:hAnsi="Courier New" w:hint="default"/>
      </w:rPr>
    </w:lvl>
    <w:lvl w:ilvl="5" w:tplc="5F04B2B6">
      <w:start w:val="1"/>
      <w:numFmt w:val="bullet"/>
      <w:lvlText w:val=""/>
      <w:lvlJc w:val="left"/>
      <w:pPr>
        <w:ind w:left="4320" w:hanging="360"/>
      </w:pPr>
      <w:rPr>
        <w:rFonts w:ascii="Wingdings" w:hAnsi="Wingdings" w:hint="default"/>
      </w:rPr>
    </w:lvl>
    <w:lvl w:ilvl="6" w:tplc="85B04066">
      <w:start w:val="1"/>
      <w:numFmt w:val="bullet"/>
      <w:lvlText w:val=""/>
      <w:lvlJc w:val="left"/>
      <w:pPr>
        <w:ind w:left="5040" w:hanging="360"/>
      </w:pPr>
      <w:rPr>
        <w:rFonts w:ascii="Symbol" w:hAnsi="Symbol" w:hint="default"/>
      </w:rPr>
    </w:lvl>
    <w:lvl w:ilvl="7" w:tplc="FDAAFA74">
      <w:start w:val="1"/>
      <w:numFmt w:val="bullet"/>
      <w:lvlText w:val="o"/>
      <w:lvlJc w:val="left"/>
      <w:pPr>
        <w:ind w:left="5760" w:hanging="360"/>
      </w:pPr>
      <w:rPr>
        <w:rFonts w:ascii="Courier New" w:hAnsi="Courier New" w:hint="default"/>
      </w:rPr>
    </w:lvl>
    <w:lvl w:ilvl="8" w:tplc="D21AAA12">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4B6"/>
    <w:rsid w:val="00784A62"/>
    <w:rsid w:val="007D04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890C41-3CDF-4A36-874C-01297797B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D04B6"/>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D04B6"/>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1428</Words>
  <Characters>8428</Characters>
  <Application>Microsoft Office Word</Application>
  <DocSecurity>0</DocSecurity>
  <Lines>70</Lines>
  <Paragraphs>19</Paragraphs>
  <ScaleCrop>false</ScaleCrop>
  <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Trojanová Jarmila</dc:creator>
  <cp:keywords/>
  <dc:description/>
  <cp:lastModifiedBy>Trojanová Jarmila</cp:lastModifiedBy>
  <cp:revision>1</cp:revision>
  <dcterms:created xsi:type="dcterms:W3CDTF">2022-06-15T09:46:00Z</dcterms:created>
  <dcterms:modified xsi:type="dcterms:W3CDTF">2022-06-15T09:47:00Z</dcterms:modified>
</cp:coreProperties>
</file>