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6F53" w14:textId="77777777" w:rsidR="004E0A0B" w:rsidRPr="004E0A0B" w:rsidRDefault="004E0A0B" w:rsidP="004E0A0B">
      <w:pPr>
        <w:spacing w:after="0" w:line="300" w:lineRule="atLeast"/>
        <w:textAlignment w:val="baseline"/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</w:pPr>
      <w:proofErr w:type="spellStart"/>
      <w:r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>Colloque</w:t>
      </w:r>
      <w:proofErr w:type="spellEnd"/>
      <w:r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>international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proofErr w:type="spellStart"/>
      <w:r w:rsidRPr="004E0A0B">
        <w:rPr>
          <w:rFonts w:ascii="Lucida Sans Unicode" w:eastAsia="Times New Roman" w:hAnsi="Lucida Sans Unicode" w:cs="Lucida Sans Unicode"/>
          <w:b/>
          <w:bCs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Le</w:t>
      </w:r>
      <w:proofErr w:type="spellEnd"/>
      <w:r w:rsidRPr="004E0A0B">
        <w:rPr>
          <w:rFonts w:ascii="Lucida Sans Unicode" w:eastAsia="Times New Roman" w:hAnsi="Lucida Sans Unicode" w:cs="Lucida Sans Unicode"/>
          <w:b/>
          <w:bCs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b/>
          <w:bCs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temps</w:t>
      </w:r>
      <w:proofErr w:type="spellEnd"/>
      <w:r w:rsidRPr="004E0A0B">
        <w:rPr>
          <w:rFonts w:ascii="Lucida Sans Unicode" w:eastAsia="Times New Roman" w:hAnsi="Lucida Sans Unicode" w:cs="Lucida Sans Unicode"/>
          <w:b/>
          <w:bCs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b/>
          <w:bCs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vécu</w:t>
      </w:r>
      <w:proofErr w:type="spellEnd"/>
      <w:r w:rsidRPr="004E0A0B">
        <w:rPr>
          <w:rFonts w:ascii="Lucida Sans Unicode" w:eastAsia="Times New Roman" w:hAnsi="Lucida Sans Unicode" w:cs="Lucida Sans Unicode"/>
          <w:b/>
          <w:bCs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 xml:space="preserve"> / </w:t>
      </w:r>
      <w:proofErr w:type="spellStart"/>
      <w:r w:rsidRPr="004E0A0B">
        <w:rPr>
          <w:rFonts w:ascii="Lucida Sans Unicode" w:eastAsia="Times New Roman" w:hAnsi="Lucida Sans Unicode" w:cs="Lucida Sans Unicode"/>
          <w:b/>
          <w:bCs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le</w:t>
      </w:r>
      <w:proofErr w:type="spellEnd"/>
      <w:r w:rsidRPr="004E0A0B">
        <w:rPr>
          <w:rFonts w:ascii="Lucida Sans Unicode" w:eastAsia="Times New Roman" w:hAnsi="Lucida Sans Unicode" w:cs="Lucida Sans Unicode"/>
          <w:b/>
          <w:bCs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b/>
          <w:bCs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temps</w:t>
      </w:r>
      <w:proofErr w:type="spellEnd"/>
      <w:r w:rsidRPr="004E0A0B">
        <w:rPr>
          <w:rFonts w:ascii="Lucida Sans Unicode" w:eastAsia="Times New Roman" w:hAnsi="Lucida Sans Unicode" w:cs="Lucida Sans Unicode"/>
          <w:b/>
          <w:bCs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b/>
          <w:bCs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raconté</w:t>
      </w:r>
      <w:proofErr w:type="spellEnd"/>
      <w:r w:rsidRPr="004E0A0B">
        <w:rPr>
          <w:rFonts w:ascii="Lucida Sans Unicode" w:eastAsia="Times New Roman" w:hAnsi="Lucida Sans Unicode" w:cs="Lucida Sans Unicode"/>
          <w:b/>
          <w:bCs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 xml:space="preserve"> en </w:t>
      </w:r>
      <w:proofErr w:type="spellStart"/>
      <w:r w:rsidRPr="004E0A0B">
        <w:rPr>
          <w:rFonts w:ascii="Lucida Sans Unicode" w:eastAsia="Times New Roman" w:hAnsi="Lucida Sans Unicode" w:cs="Lucida Sans Unicode"/>
          <w:b/>
          <w:bCs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littérature</w:t>
      </w:r>
      <w:proofErr w:type="spellEnd"/>
      <w:r w:rsidRPr="004E0A0B">
        <w:rPr>
          <w:rFonts w:ascii="Lucida Sans Unicode" w:eastAsia="Times New Roman" w:hAnsi="Lucida Sans Unicode" w:cs="Lucida Sans Unicode"/>
          <w:b/>
          <w:bCs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 xml:space="preserve"> de </w:t>
      </w:r>
      <w:proofErr w:type="spellStart"/>
      <w:r w:rsidRPr="004E0A0B">
        <w:rPr>
          <w:rFonts w:ascii="Lucida Sans Unicode" w:eastAsia="Times New Roman" w:hAnsi="Lucida Sans Unicode" w:cs="Lucida Sans Unicode"/>
          <w:b/>
          <w:bCs/>
          <w:i/>
          <w:iCs/>
          <w:color w:val="3A3A3A"/>
          <w:sz w:val="20"/>
          <w:szCs w:val="20"/>
          <w:bdr w:val="none" w:sz="0" w:space="0" w:color="auto" w:frame="1"/>
          <w:lang w:eastAsia="cs-CZ"/>
        </w:rPr>
        <w:t>jeunesse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Organisé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par 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Kvĕtuše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KUNEŠOVÁ,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Université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Hradec </w:t>
      </w:r>
      <w:proofErr w:type="gram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Králové  et</w:t>
      </w:r>
      <w:proofErr w:type="gram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Bochra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CHARNAY et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THierry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CHARNAY,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Université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Lille</w:t>
      </w:r>
    </w:p>
    <w:p w14:paraId="58D1F40F" w14:textId="77777777" w:rsidR="00966E8F" w:rsidRDefault="004E0A0B" w:rsidP="004E0A0B">
      <w:pPr>
        <w:spacing w:after="0" w:line="300" w:lineRule="atLeast"/>
        <w:textAlignment w:val="baseline"/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</w:pPr>
      <w:r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 xml:space="preserve">24-25 </w:t>
      </w:r>
      <w:proofErr w:type="spellStart"/>
      <w:r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>mars</w:t>
      </w:r>
      <w:proofErr w:type="spellEnd"/>
      <w:r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 xml:space="preserve"> 2022</w:t>
      </w:r>
    </w:p>
    <w:p w14:paraId="78ED1E8A" w14:textId="77777777" w:rsidR="00966E8F" w:rsidRDefault="00966E8F" w:rsidP="004E0A0B">
      <w:pPr>
        <w:spacing w:after="0" w:line="300" w:lineRule="atLeast"/>
        <w:textAlignment w:val="baseline"/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</w:pPr>
    </w:p>
    <w:p w14:paraId="123A8817" w14:textId="283F7E37" w:rsidR="004E0A0B" w:rsidRPr="004E0A0B" w:rsidRDefault="00966E8F" w:rsidP="004E0A0B">
      <w:pPr>
        <w:spacing w:after="0" w:line="300" w:lineRule="atLeast"/>
        <w:textAlignment w:val="baseline"/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</w:pPr>
      <w:r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>EN LIGNE</w:t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  <w:t>« 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Quoi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que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soit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qui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tombe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en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notre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connaissance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et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jouissance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,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nous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sentons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qu’il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ne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nous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satisfait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pas, et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allons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béant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après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les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choses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à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venir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et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inconnues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,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d’autant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que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les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présentes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ne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nous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saoûlent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point ».</w:t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  <w:t xml:space="preserve">Michel de Montaigne,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Essais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, I, LIII</w:t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  <w:t> </w:t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  <w:t xml:space="preserve">La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problématique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du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temps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est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au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cœur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 la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narrativité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propre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aux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fictions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littéraires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.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colloque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se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veut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une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invitation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à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interroger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phénomène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du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temps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et ses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manifestations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dans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les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textes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destinés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aux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enfants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et à la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jeunesse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.</w:t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L’analyse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gram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de  la</w:t>
      </w:r>
      <w:proofErr w:type="gram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temporalité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serait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effectuée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dans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sa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complexité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. Elle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concernerait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les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enjeux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du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temps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comme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éléments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thématiques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qui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sont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à la base de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l’intrigue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, en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incluant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néanmoins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les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constructions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narratives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qui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découlent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du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relativisme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du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temps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.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L’un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des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buts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serait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d’étudier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dans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proofErr w:type="gram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temps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«</w:t>
      </w:r>
      <w:proofErr w:type="gram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 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une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aptitude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parallèle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à se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dédoubler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en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temps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l’acte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raconter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et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temps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des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choses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racontées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 »[1]. </w:t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temps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est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marqué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par son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caractère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insaisissable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.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passé,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présent et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futur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sont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des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notions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problématiques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selon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la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logique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rationaliste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.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temps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est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d’abord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une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mesure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qui se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veut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objective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et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universelle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et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qu’il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est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possible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quantifier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.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Mais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temps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extérieur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se double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chez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les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sujets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humains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d’un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temps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intérieur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,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d’un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temps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vécu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dont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les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lois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échappent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à la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mécanique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des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aiguilles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. La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disjonction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bergsonienne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entre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un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temps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objectif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et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un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temps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subjectif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est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essentielle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pour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la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littérature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et les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arts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, qui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s’emparent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non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seulement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du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temps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comme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mesure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scientifique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mais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également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comme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durée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,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temps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vécu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,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perception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 la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conscience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. </w:t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Dans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contexte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redéfinition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des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temporalités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, la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littérature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jeunesse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peut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devenir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une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source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d’enjeux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sur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temps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et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apporter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nouveaux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regards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à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cette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problématique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.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Il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serait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intéressant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voir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quelles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sont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les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stratégies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déployées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par les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écrivains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qui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s’adressent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aux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jeunes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. </w:t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="004E0A0B"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 xml:space="preserve">Les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>axes</w:t>
      </w:r>
      <w:proofErr w:type="spellEnd"/>
      <w:r w:rsidR="004E0A0B"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 xml:space="preserve"> de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>réflexion</w:t>
      </w:r>
      <w:proofErr w:type="spellEnd"/>
      <w:r w:rsidR="004E0A0B"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proofErr w:type="gramStart"/>
      <w:r w:rsidR="004E0A0B"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>proposés</w:t>
      </w:r>
      <w:proofErr w:type="spellEnd"/>
      <w:r w:rsidR="004E0A0B"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> :</w:t>
      </w:r>
      <w:proofErr w:type="gram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  <w:t>1)    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temps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l’histoire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/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temps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du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discours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lastRenderedPageBreak/>
        <w:br/>
        <w:t>2)    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L’Histoire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racontée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 </w:t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  <w:t>3)    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passé,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présent,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futur </w:t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  <w:t xml:space="preserve">4)    La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mémoire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et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l’oubli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  <w:t>5)    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temps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objectif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/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temps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subjectif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  <w:t> </w:t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proofErr w:type="spellStart"/>
      <w:r w:rsidR="004E0A0B"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>Comité</w:t>
      </w:r>
      <w:proofErr w:type="spellEnd"/>
      <w:r w:rsidR="004E0A0B"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>d’organisation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Kvĕtuše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Kunešová,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Faculté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Pédagogie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,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Département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langue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et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littérature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françaises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, Hradec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Kralové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,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République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tchèque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Bochra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Charnay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, ALITHILA,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Université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 Lille</w:t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Thierry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Charnay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ALITHILA,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Université</w:t>
      </w:r>
      <w:proofErr w:type="spellEnd"/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 Lille</w:t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  <w:t> </w:t>
      </w:r>
      <w:r w:rsidR="004E0A0B"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proofErr w:type="spellStart"/>
      <w:r w:rsidR="004E0A0B"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>Comité</w:t>
      </w:r>
      <w:proofErr w:type="spellEnd"/>
      <w:r w:rsidR="004E0A0B"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="004E0A0B"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>scientifique</w:t>
      </w:r>
      <w:proofErr w:type="spellEnd"/>
    </w:p>
    <w:p w14:paraId="6A839206" w14:textId="77777777" w:rsidR="004E0A0B" w:rsidRPr="004E0A0B" w:rsidRDefault="004E0A0B" w:rsidP="004E0A0B">
      <w:pPr>
        <w:spacing w:after="0" w:line="300" w:lineRule="atLeast"/>
        <w:textAlignment w:val="baseline"/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</w:pPr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CHARNAY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Bochra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,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Université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Lille, ULR 1061 ALITHILA</w:t>
      </w:r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  <w:t xml:space="preserve">CHARNAY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Thierry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,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Université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Lille, ULR 1061 ALITHILA</w:t>
      </w:r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  <w:t xml:space="preserve">CHEKALOV  Kirill, Institut de la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Littérature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mondiale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l’Académie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des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sciences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 la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Russie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  <w:t xml:space="preserve">KUNEŠOVÁ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Kvĕtuše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,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Faculté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Pédagogie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l’Université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 Hradec,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République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tchèque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  <w:t xml:space="preserve">POHORSKÝ Aleš,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Université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Charles, Prague,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République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tchèque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  <w:t xml:space="preserve">Les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propositions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communication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(titre, résumé de 1500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caractères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maximum (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espaces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comprises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),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mots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clés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, et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références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bibliographiques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)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seront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accompagnées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d’une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brève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biobibliographie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de1500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caractères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(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espaces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comprises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) maximum,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comprenant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 : statut,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établissement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et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équipe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dde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recherche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ainsi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que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les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principales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publications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récentes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.</w:t>
      </w:r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  <w:t xml:space="preserve">Les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communications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(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inédites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)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retenues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par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comité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scientifique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et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présentées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lors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du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colloque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feront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l’objet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d’une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publication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.</w:t>
      </w:r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  <w:t>Les  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propositions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sont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à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adresser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 </w:t>
      </w:r>
      <w:r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 xml:space="preserve">au plus </w:t>
      </w:r>
      <w:proofErr w:type="spellStart"/>
      <w:r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>tard</w:t>
      </w:r>
      <w:proofErr w:type="spellEnd"/>
      <w:r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>le</w:t>
      </w:r>
      <w:proofErr w:type="spellEnd"/>
      <w:r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 xml:space="preserve"> 31 </w:t>
      </w:r>
      <w:proofErr w:type="spellStart"/>
      <w:r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>janvier</w:t>
      </w:r>
      <w:proofErr w:type="spellEnd"/>
      <w:r w:rsidRPr="004E0A0B">
        <w:rPr>
          <w:rFonts w:ascii="Lucida Sans Unicode" w:eastAsia="Times New Roman" w:hAnsi="Lucida Sans Unicode" w:cs="Lucida Sans Unicode"/>
          <w:b/>
          <w:bCs/>
          <w:color w:val="3A3A3A"/>
          <w:sz w:val="20"/>
          <w:szCs w:val="20"/>
          <w:bdr w:val="none" w:sz="0" w:space="0" w:color="auto" w:frame="1"/>
          <w:lang w:eastAsia="cs-CZ"/>
        </w:rPr>
        <w:t xml:space="preserve"> 2022</w:t>
      </w:r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 à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l’adresse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suivante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 :</w:t>
      </w:r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hyperlink r:id="rId5" w:history="1">
        <w:r w:rsidRPr="004E0A0B">
          <w:rPr>
            <w:rFonts w:ascii="Lucida Sans Unicode" w:eastAsia="Times New Roman" w:hAnsi="Lucida Sans Unicode" w:cs="Lucida Sans Unicode"/>
            <w:color w:val="999999"/>
            <w:sz w:val="20"/>
            <w:szCs w:val="20"/>
            <w:u w:val="single"/>
            <w:bdr w:val="none" w:sz="0" w:space="0" w:color="auto" w:frame="1"/>
            <w:lang w:eastAsia="cs-CZ"/>
          </w:rPr>
          <w:t>hradeclitteraturejeunesse@gmail.com</w:t>
        </w:r>
      </w:hyperlink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 </w:t>
      </w:r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</w:r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  <w:t> </w:t>
      </w:r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  <w:t> </w:t>
      </w:r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br/>
        <w:t xml:space="preserve">[1]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Ricœur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, Paul.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Temps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et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récit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, II. La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configuration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dans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le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récit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de fiction. </w:t>
      </w:r>
      <w:proofErr w:type="gram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Paris :</w:t>
      </w:r>
      <w:proofErr w:type="gram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 xml:space="preserve"> </w:t>
      </w:r>
      <w:proofErr w:type="spellStart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Seuil</w:t>
      </w:r>
      <w:proofErr w:type="spellEnd"/>
      <w:r w:rsidRPr="004E0A0B">
        <w:rPr>
          <w:rFonts w:ascii="Lucida Sans Unicode" w:eastAsia="Times New Roman" w:hAnsi="Lucida Sans Unicode" w:cs="Lucida Sans Unicode"/>
          <w:color w:val="3A3A3A"/>
          <w:sz w:val="20"/>
          <w:szCs w:val="20"/>
          <w:lang w:eastAsia="cs-CZ"/>
        </w:rPr>
        <w:t>, 1984, p. 15.</w:t>
      </w:r>
    </w:p>
    <w:sectPr w:rsidR="004E0A0B" w:rsidRPr="004E0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60420"/>
    <w:multiLevelType w:val="multilevel"/>
    <w:tmpl w:val="D1E8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A0B"/>
    <w:rsid w:val="004942C9"/>
    <w:rsid w:val="004E0A0B"/>
    <w:rsid w:val="0096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53FE"/>
  <w15:chartTrackingRefBased/>
  <w15:docId w15:val="{AA556848-1FC8-4CED-B27D-FED99456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E0A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E0A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E0A0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E0A0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E0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E0A0B"/>
    <w:rPr>
      <w:b/>
      <w:bCs/>
    </w:rPr>
  </w:style>
  <w:style w:type="character" w:styleId="Zdraznn">
    <w:name w:val="Emphasis"/>
    <w:basedOn w:val="Standardnpsmoodstavce"/>
    <w:uiPriority w:val="20"/>
    <w:qFormat/>
    <w:rsid w:val="004E0A0B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E0A0B"/>
    <w:rPr>
      <w:color w:val="0000FF"/>
      <w:u w:val="single"/>
    </w:rPr>
  </w:style>
  <w:style w:type="character" w:customStyle="1" w:styleId="icone">
    <w:name w:val="icone"/>
    <w:basedOn w:val="Standardnpsmoodstavce"/>
    <w:rsid w:val="004E0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9522"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none" w:sz="0" w:space="31" w:color="auto"/>
                <w:bottom w:val="dotted" w:sz="6" w:space="23" w:color="auto"/>
                <w:right w:val="none" w:sz="0" w:space="31" w:color="auto"/>
              </w:divBdr>
            </w:div>
            <w:div w:id="5545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8617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adeclitteraturejeuness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3171</Characters>
  <Application>Microsoft Office Word</Application>
  <DocSecurity>0</DocSecurity>
  <Lines>26</Lines>
  <Paragraphs>7</Paragraphs>
  <ScaleCrop>false</ScaleCrop>
  <Company>Univerzita Hradec Králové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Kunešová Květuše</dc:creator>
  <cp:keywords/>
  <dc:description/>
  <cp:lastModifiedBy>Kunešová Květuše</cp:lastModifiedBy>
  <cp:revision>3</cp:revision>
  <dcterms:created xsi:type="dcterms:W3CDTF">2022-01-10T08:01:00Z</dcterms:created>
  <dcterms:modified xsi:type="dcterms:W3CDTF">2022-01-10T08:01:00Z</dcterms:modified>
</cp:coreProperties>
</file>