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w:rsidRPr="009860B5" w:rsidR="009860B5" w:rsidTr="6EFD41E3" w14:paraId="17FD8226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3269645C" w:rsidRDefault="009860B5" w14:paraId="2FC447A6" w14:textId="77777777">
            <w:pPr>
              <w:spacing w:before="100" w:beforeAutospacing="on" w:after="100" w:afterAutospacing="on" w:line="240" w:lineRule="auto"/>
              <w:outlineLvl w:val="2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24"/>
                <w:szCs w:val="24"/>
                <w:lang w:eastAsia="cs-CZ"/>
              </w:rPr>
            </w:pPr>
          </w:p>
        </w:tc>
      </w:tr>
      <w:tr w:rsidRPr="009860B5" w:rsidR="009860B5" w:rsidTr="6EFD41E3" w14:paraId="53B83549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376B34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BC8DC4D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Filozofická fakulta</w:t>
            </w:r>
          </w:p>
        </w:tc>
      </w:tr>
      <w:tr w:rsidRPr="009860B5" w:rsidR="009860B5" w:rsidTr="6EFD41E3" w14:paraId="700A62E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CE11E04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</w:pPr>
            <w:r w:rsidRPr="30AEF751" w:rsidR="009860B5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FA3BF2" w14:paraId="434959E4" w14:textId="5A29237B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30AEF751" w:rsidR="2ADB2FB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</w:t>
            </w:r>
            <w:r w:rsidRPr="30AEF751" w:rsidR="2ADB2FB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olitical</w:t>
            </w:r>
            <w:r w:rsidRPr="30AEF751" w:rsidR="2ADB2FB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Science</w:t>
            </w:r>
          </w:p>
        </w:tc>
      </w:tr>
      <w:tr w:rsidRPr="009860B5" w:rsidR="009860B5" w:rsidTr="6EFD41E3" w14:paraId="1E0CFCC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3269645C" w:rsidRDefault="009860B5" w14:paraId="598056E2" w14:textId="77777777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</w:pPr>
            <w:r w:rsidRPr="3269645C" w:rsidR="009860B5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3269645C" w:rsidRDefault="00FA3BF2" w14:paraId="2B9213C3" w14:textId="713026AE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01F93DD6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BAPOLI</w:t>
            </w:r>
          </w:p>
        </w:tc>
      </w:tr>
      <w:tr w:rsidRPr="009860B5" w:rsidR="009860B5" w:rsidTr="6EFD41E3" w14:paraId="0920E47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349349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486ADE" w14:paraId="5A730202" w14:textId="3BA7D990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Anglický</w:t>
            </w:r>
          </w:p>
        </w:tc>
      </w:tr>
      <w:tr w:rsidRPr="009860B5" w:rsidR="009860B5" w:rsidTr="6EFD41E3" w14:paraId="424630F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DE9659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3269645C" w:rsidRDefault="00FA3BF2" w14:paraId="0DEC6E0A" w14:textId="389E4CCE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3128F9BC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B0312A200030</w:t>
            </w:r>
          </w:p>
        </w:tc>
      </w:tr>
      <w:tr w:rsidRPr="009860B5" w:rsidR="009860B5" w:rsidTr="6EFD41E3" w14:paraId="7E0ACE6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19D1BB4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486ADE" w14:paraId="1E09EE61" w14:textId="2F8A0BEE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Political Science</w:t>
            </w:r>
          </w:p>
        </w:tc>
      </w:tr>
      <w:tr w:rsidRPr="009860B5" w:rsidR="009860B5" w:rsidTr="6EFD41E3" w14:paraId="4D229C4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F9E784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0A0C14" w:rsidRDefault="000A0C14" w14:paraId="7D7A0519" w14:textId="79E662B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Prezenční</w:t>
            </w:r>
          </w:p>
        </w:tc>
      </w:tr>
      <w:tr w:rsidRPr="009860B5" w:rsidR="009860B5" w:rsidTr="6EFD41E3" w14:paraId="2EB69F5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3D1FD9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FA3BF2" w14:paraId="69F9C991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Bakalářský </w:t>
            </w:r>
          </w:p>
        </w:tc>
      </w:tr>
      <w:tr w:rsidRPr="009860B5" w:rsidR="009860B5" w:rsidTr="6EFD41E3" w14:paraId="20B9CAF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F0C648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FA3BF2" w14:paraId="0979CCFD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3</w:t>
            </w:r>
          </w:p>
        </w:tc>
      </w:tr>
      <w:tr w:rsidRPr="009860B5" w:rsidR="009860B5" w:rsidTr="6EFD41E3" w14:paraId="0A49D23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12AD5E40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00566EA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Jednooborové studium</w:t>
            </w:r>
          </w:p>
        </w:tc>
      </w:tr>
      <w:tr w:rsidRPr="009860B5" w:rsidR="009860B5" w:rsidTr="6EFD41E3" w14:paraId="04F5D64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D11313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3269645C" w:rsidRDefault="009860B5" w14:paraId="4D45AC75" w14:textId="1B8B8AC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3269645C" w:rsidR="0043233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Podmínkou přijetí je ukončené středoškolské vzdělání</w:t>
            </w:r>
            <w:r w:rsidRPr="3269645C" w:rsidR="00EB4B4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(doložené dokladem</w:t>
            </w:r>
            <w:r w:rsidRPr="3269645C" w:rsidR="008046F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o </w:t>
            </w:r>
            <w:r w:rsidRPr="3269645C" w:rsidR="008046F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dosažení středoškolského vzdělání</w:t>
            </w:r>
            <w:r w:rsidRPr="3269645C" w:rsidR="00E9578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, který</w:t>
            </w:r>
            <w:r w:rsidRPr="3269645C" w:rsidR="008046F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musí být v souladu s §48</w:t>
            </w:r>
            <w:r w:rsidRPr="3269645C" w:rsidR="008046F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3269645C" w:rsidR="008046F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odst. 4 </w:t>
            </w:r>
            <w:r w:rsidRPr="3269645C" w:rsidR="000A2B5D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Zákona o vysokých školách a o změně a doplnění dalších zákonů č. 111/1998</w:t>
            </w:r>
            <w:r w:rsidRPr="3269645C" w:rsidR="00C94D2F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3269645C" w:rsidR="000A2B5D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Sb. v platném znění</w:t>
            </w:r>
            <w:r w:rsidRPr="3269645C" w:rsidR="00EB4B4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)</w:t>
            </w:r>
            <w:r w:rsidRPr="3269645C" w:rsidR="0043233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a úspěšné splnění podmínek přijímacího řízení.</w:t>
            </w:r>
            <w:r w:rsidRPr="3269645C" w:rsidR="008046F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3269645C" w:rsidR="00FA3BF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Uchazeč musí disponovat obecnými předpoklady ke studiu. Pro úspěšné zvládnutí studia je třeba, aby do něj uchazeč vstupoval se středoškolskými znalostmi společenskovědních oborů</w:t>
            </w:r>
            <w:r w:rsidRPr="3269645C" w:rsidR="002B171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, moderních dějin</w:t>
            </w:r>
            <w:r w:rsidRPr="3269645C" w:rsidR="7613AAEF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,</w:t>
            </w:r>
            <w:r w:rsidRPr="3269645C" w:rsidR="00FA3BF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přehledem o politickém a společenském dění</w:t>
            </w:r>
            <w:r w:rsidRPr="3269645C" w:rsidR="5230A69B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a aktivní znalostí anglického jazyka.</w:t>
            </w:r>
          </w:p>
        </w:tc>
      </w:tr>
      <w:tr w:rsidRPr="009860B5" w:rsidR="009860B5" w:rsidTr="6EFD41E3" w14:paraId="70EF329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629359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3269645C" w:rsidRDefault="002B1713" w14:paraId="29C11C3B" w14:textId="4351BC40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Absolvent/absolvent</w:t>
            </w:r>
            <w:r w:rsidRPr="3269645C" w:rsidR="0F7392F2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k</w:t>
            </w: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 xml:space="preserve">a studijního programu Political Science bude disponovat znalostmi z klíčových disciplín politologie a příslušnými dovednostmi a kompetencemi. </w:t>
            </w:r>
          </w:p>
          <w:p w:rsidRPr="009860B5" w:rsidR="009860B5" w:rsidP="3269645C" w:rsidRDefault="002B1713" w14:paraId="4BF0E393" w14:textId="2A1A2022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 xml:space="preserve"> </w:t>
            </w:r>
          </w:p>
          <w:p w:rsidRPr="009860B5" w:rsidR="009860B5" w:rsidP="3269645C" w:rsidRDefault="002B1713" w14:paraId="4E2CFE36" w14:textId="49507EA2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V rámci znalostí absolvent</w:t>
            </w:r>
            <w:r w:rsidRPr="3269645C" w:rsidR="7B9B2255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 /absolventka</w:t>
            </w: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 xml:space="preserve"> umí:</w:t>
            </w:r>
          </w:p>
          <w:p w:rsidRPr="009860B5" w:rsidR="009860B5" w:rsidP="3269645C" w:rsidRDefault="002B1713" w14:paraId="492761F6" w14:textId="5BFD605C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popsat vývoj politického myšlení od Antiky do konce 19. st. a charakterizovat jednotlivé myšlenkové směry</w:t>
            </w:r>
          </w:p>
          <w:p w:rsidRPr="009860B5" w:rsidR="009860B5" w:rsidP="3269645C" w:rsidRDefault="002B1713" w14:paraId="7BD6AE09" w14:textId="7FBE484C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vysvětlit současné problémy politické filosofie</w:t>
            </w:r>
          </w:p>
          <w:p w:rsidRPr="009860B5" w:rsidR="009860B5" w:rsidP="3269645C" w:rsidRDefault="002B1713" w14:paraId="5E463C10" w14:textId="65DDD992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charakterizovat politické systémy Evropy, Severní Ameriky a dalších významných států světa</w:t>
            </w:r>
          </w:p>
          <w:p w:rsidRPr="009860B5" w:rsidR="009860B5" w:rsidP="3269645C" w:rsidRDefault="002B1713" w14:paraId="4258A7C5" w14:textId="28DDA78C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charakterizovat politický systém České republiky a popsat politický vývoj České republiky</w:t>
            </w:r>
          </w:p>
          <w:p w:rsidRPr="009860B5" w:rsidR="009860B5" w:rsidP="3269645C" w:rsidRDefault="002B1713" w14:paraId="2360D859" w14:textId="716183CF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 xml:space="preserve">orientovat se ve světové historii 20. st. a české historii 20. st. </w:t>
            </w:r>
          </w:p>
          <w:p w:rsidRPr="009860B5" w:rsidR="009860B5" w:rsidP="3269645C" w:rsidRDefault="002B1713" w14:paraId="638F8C16" w14:textId="4514A595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vysvětlit teorie mezinárodních vztahů a orientovat se v současném mezinárodním dění</w:t>
            </w:r>
          </w:p>
          <w:p w:rsidRPr="009860B5" w:rsidR="009860B5" w:rsidP="3269645C" w:rsidRDefault="002B1713" w14:paraId="05AFECC8" w14:textId="778FC4B2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charakterizovat Evropskou unii a vysvětlit její fungování na základě teorií evropské integrace</w:t>
            </w:r>
          </w:p>
          <w:p w:rsidRPr="009860B5" w:rsidR="009860B5" w:rsidP="3269645C" w:rsidRDefault="002B1713" w14:paraId="2700C082" w14:textId="30210EDD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vysvětlit základní teoretické přístupy k demokracii</w:t>
            </w:r>
          </w:p>
          <w:p w:rsidRPr="009860B5" w:rsidR="009860B5" w:rsidP="3269645C" w:rsidRDefault="002B1713" w14:paraId="7574498B" w14:textId="74723F2F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vysvětlit základní teorie politických stran a stranických systému</w:t>
            </w:r>
          </w:p>
          <w:p w:rsidRPr="009860B5" w:rsidR="009860B5" w:rsidP="3269645C" w:rsidRDefault="002B1713" w14:paraId="2CA56B22" w14:textId="0272B2F5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vysvětlit podstatu různých volebních systému a jejich proměnné</w:t>
            </w:r>
          </w:p>
          <w:p w:rsidRPr="009860B5" w:rsidR="009860B5" w:rsidP="3269645C" w:rsidRDefault="002B1713" w14:paraId="548074CB" w14:textId="5BF74F26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</w:pPr>
          </w:p>
          <w:p w:rsidRPr="009860B5" w:rsidR="009860B5" w:rsidP="3269645C" w:rsidRDefault="002B1713" w14:paraId="5ACA4850" w14:textId="010782C5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cs-CZ"/>
              </w:rPr>
            </w:pPr>
            <w:r w:rsidRPr="3269645C" w:rsidR="16DF02E7"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cs-CZ"/>
              </w:rPr>
              <w:t xml:space="preserve"> </w:t>
            </w:r>
            <w:r w:rsidRPr="3269645C" w:rsidR="5BEA7E7C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V</w:t>
            </w: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 xml:space="preserve"> rám</w:t>
            </w: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ci odborných dovedností absolvent</w:t>
            </w:r>
            <w:r w:rsidRPr="3269645C" w:rsidR="036F78F7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 /absolventka</w:t>
            </w: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 xml:space="preserve"> umí:</w:t>
            </w:r>
          </w:p>
          <w:p w:rsidRPr="009860B5" w:rsidR="009860B5" w:rsidP="3269645C" w:rsidRDefault="002B1713" w14:paraId="482520EE" w14:textId="7E34EBEC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right="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analyzovat současné politické dění ve světě i v české republice</w:t>
            </w:r>
          </w:p>
          <w:p w:rsidRPr="009860B5" w:rsidR="009860B5" w:rsidP="3269645C" w:rsidRDefault="002B1713" w14:paraId="3A751E82" w14:textId="291D3B36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p</w:t>
            </w: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oužívat různé metodologické postupy k analýze politických problémů</w:t>
            </w:r>
          </w:p>
          <w:p w:rsidRPr="009860B5" w:rsidR="009860B5" w:rsidP="3269645C" w:rsidRDefault="002B1713" w14:paraId="0C5A9620" w14:textId="0FD8FC8F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16DF02E7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analyzovat odborné texty s politickou (a příbuznou) tématikou</w:t>
            </w:r>
          </w:p>
          <w:p w:rsidRPr="009860B5" w:rsidR="009860B5" w:rsidP="387B2E6C" w:rsidRDefault="002B1713" w14:paraId="38C73A56" w14:textId="67B08BF7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left="720" w:right="0" w:hanging="36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/>
              </w:rPr>
            </w:pPr>
            <w:r w:rsidRPr="387B2E6C" w:rsidR="387B2E6C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 xml:space="preserve">kriticky přemýšlet o současném politickém dění </w:t>
            </w:r>
          </w:p>
          <w:p w:rsidRPr="009860B5" w:rsidR="009860B5" w:rsidP="3269645C" w:rsidRDefault="002B1713" w14:paraId="68D70FC3" w14:textId="5E66A3F5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/>
              </w:rPr>
            </w:pPr>
            <w:r w:rsidRPr="3269645C" w:rsidR="0A65704C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psát odborně zaměřené texty</w:t>
            </w:r>
          </w:p>
          <w:p w:rsidRPr="009860B5" w:rsidR="009860B5" w:rsidP="3269645C" w:rsidRDefault="002B1713" w14:paraId="2014E7BB" w14:textId="571BF9A5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</w:pPr>
          </w:p>
          <w:p w:rsidRPr="009860B5" w:rsidR="009860B5" w:rsidP="3269645C" w:rsidRDefault="002B1713" w14:paraId="6D402642" w14:textId="5437219A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cs-CZ"/>
              </w:rPr>
            </w:pPr>
            <w:r w:rsidRPr="3269645C" w:rsidR="0A65704C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V rámci obecných způsobilostí absolvent</w:t>
            </w:r>
            <w:r w:rsidRPr="3269645C" w:rsidR="3FDB9A38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 xml:space="preserve"> /absolventka</w:t>
            </w:r>
            <w:r w:rsidRPr="3269645C" w:rsidR="0A65704C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 xml:space="preserve"> umí:</w:t>
            </w:r>
          </w:p>
          <w:p w:rsidRPr="009860B5" w:rsidR="009860B5" w:rsidP="3269645C" w:rsidRDefault="002B1713" w14:paraId="21C59AB3" w14:textId="6232026B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/>
              </w:rPr>
            </w:pPr>
            <w:r w:rsidRPr="3269645C" w:rsidR="0A65704C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samostatně řešit zadané úkoly</w:t>
            </w:r>
          </w:p>
          <w:p w:rsidRPr="009860B5" w:rsidR="009860B5" w:rsidP="3269645C" w:rsidRDefault="002B1713" w14:paraId="28F75A92" w14:textId="5F2B94DF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/>
              </w:rPr>
            </w:pPr>
            <w:r w:rsidRPr="3269645C" w:rsidR="0A65704C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pracovat v týmu a efektivně dělit role v týmu</w:t>
            </w:r>
          </w:p>
          <w:p w:rsidRPr="009860B5" w:rsidR="009860B5" w:rsidP="3269645C" w:rsidRDefault="002B1713" w14:paraId="0A06F7AE" w14:textId="15CC172A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/>
              </w:rPr>
            </w:pPr>
            <w:r w:rsidRPr="3269645C" w:rsidR="0A65704C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vyhledávat a třídit informace dle jejich relevance</w:t>
            </w:r>
          </w:p>
          <w:p w:rsidRPr="009860B5" w:rsidR="009860B5" w:rsidP="3269645C" w:rsidRDefault="002B1713" w14:paraId="23FFF74F" w14:textId="3C5D83D9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/>
              </w:rPr>
            </w:pPr>
            <w:r w:rsidRPr="3269645C" w:rsidR="0A65704C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kriticky přemýšlet</w:t>
            </w:r>
          </w:p>
          <w:p w:rsidRPr="009860B5" w:rsidR="009860B5" w:rsidP="3269645C" w:rsidRDefault="002B1713" w14:paraId="61D78B2D" w14:textId="5ECA81B4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40" w:lineRule="auto"/>
              <w:ind w:left="720" w:right="0" w:hanging="360"/>
              <w:jc w:val="both"/>
              <w:rPr>
                <w:rFonts w:ascii="inherit" w:hAnsi="inherit" w:eastAsia="inherit" w:cs="inherit" w:asciiTheme="minorAscii" w:hAnsiTheme="minorAscii" w:eastAsiaTheme="minorAscii" w:cstheme="minorAscii"/>
                <w:noProof w:val="0"/>
                <w:color w:val="676767"/>
                <w:sz w:val="16"/>
                <w:szCs w:val="16"/>
                <w:lang w:val="cs-CZ"/>
              </w:rPr>
            </w:pPr>
            <w:r w:rsidRPr="3269645C" w:rsidR="0A65704C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srozumitelně a jasně shrnout obsah odborných textů</w:t>
            </w:r>
          </w:p>
          <w:p w:rsidRPr="009860B5" w:rsidR="009860B5" w:rsidP="3269645C" w:rsidRDefault="002B1713" w14:paraId="7A1F5F00" w14:textId="2A7C59BA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</w:pPr>
          </w:p>
          <w:p w:rsidRPr="009860B5" w:rsidR="009860B5" w:rsidP="3269645C" w:rsidRDefault="002B1713" w14:paraId="58A39BA9" w14:textId="5FB37EB9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cs-CZ"/>
              </w:rPr>
            </w:pPr>
            <w:r w:rsidRPr="3269645C" w:rsidR="3B3CF115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 xml:space="preserve">Na základě získaných znalostí, dovedností a kompetencí bude absolvent/absolventka připraven/a zejména na povolání v: institucích politického systému (v úzkém slova smyslu státní orgány, v širším smyslu </w:t>
            </w:r>
            <w:r w:rsidRPr="3269645C" w:rsidR="3B3CF115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politické strany apod.), institucích veřejné správy a samosprávy, médiích, konzultantských službách, institucích EU, mezinárodních institucích (např. OSN, NATO) a tuzemských i mezinárodních nevládních organizacích příslušného zaměření.</w:t>
            </w:r>
          </w:p>
          <w:p w:rsidRPr="009860B5" w:rsidR="009860B5" w:rsidP="3269645C" w:rsidRDefault="002B1713" w14:paraId="00C9CC26" w14:textId="3B14A761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</w:pPr>
          </w:p>
          <w:p w:rsidRPr="009860B5" w:rsidR="009860B5" w:rsidP="3269645C" w:rsidRDefault="002B1713" w14:paraId="6D3334B2" w14:textId="24A7E366">
            <w:pPr>
              <w:pStyle w:val="Normln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3269645C" w:rsidR="3B3CF115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>U části absolventů</w:t>
            </w:r>
            <w:r w:rsidRPr="3269645C" w:rsidR="3AF1F30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676767"/>
                <w:sz w:val="16"/>
                <w:szCs w:val="16"/>
                <w:lang w:val="cs-CZ"/>
              </w:rPr>
              <w:t>/absolventek</w:t>
            </w:r>
            <w:r w:rsidRPr="3269645C" w:rsidR="3B3CF115"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  <w:t xml:space="preserve"> se předpokládá pokračování vzdělávání v navazujícím magisterském stupni studia.</w:t>
            </w:r>
          </w:p>
          <w:p w:rsidRPr="009860B5" w:rsidR="009860B5" w:rsidP="3269645C" w:rsidRDefault="002B1713" w14:paraId="04A960B2" w14:textId="539EEFD8">
            <w:pPr>
              <w:pStyle w:val="Normln"/>
              <w:spacing w:after="0" w:line="240" w:lineRule="auto"/>
              <w:jc w:val="both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  <w:tr w:rsidRPr="009860B5" w:rsidR="009860B5" w:rsidTr="6EFD41E3" w14:paraId="5E59C29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374452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96117E" w14:paraId="3E8DBB5D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6EFD41E3" w14:paraId="28B081B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48AF29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6117E" w:rsidRDefault="0096117E" w14:paraId="5189A5F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  <w:bookmarkStart w:name="_GoBack" w:id="0"/>
            <w:bookmarkEnd w:id="0"/>
          </w:p>
        </w:tc>
      </w:tr>
      <w:tr w:rsidRPr="009860B5" w:rsidR="009860B5" w:rsidTr="6EFD41E3" w14:paraId="2D9DB608" w14:textId="77777777">
        <w:trPr>
          <w:trHeight w:val="1470"/>
        </w:trPr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166C4D6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2D5397B4" w:rsidRDefault="00F46AEC" w14:paraId="3760AC72" w14:textId="0FDB1F12">
            <w:pPr>
              <w:spacing w:before="0" w:beforeAutospacing="off" w:after="4" w:afterAutospacing="off" w:line="250" w:lineRule="auto"/>
              <w:ind w:left="98" w:right="38" w:hanging="9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</w:pPr>
            <w:r w:rsidRPr="2D5397B4" w:rsidR="2307F4C9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"/>
              </w:rPr>
              <w:t xml:space="preserve">Přijímací zkouška se skládá z těchto částí: </w:t>
            </w:r>
          </w:p>
          <w:p w:rsidRPr="009860B5" w:rsidR="009860B5" w:rsidP="2D5397B4" w:rsidRDefault="00F46AEC" w14:paraId="62ECEAE1" w14:textId="2F840A21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 w:line="250" w:lineRule="auto"/>
              <w:ind w:left="1183" w:right="38" w:hanging="372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</w:pPr>
            <w:r w:rsidRPr="2D5397B4" w:rsidR="2307F4C9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"/>
              </w:rPr>
              <w:t xml:space="preserve">esej na téma proč chce uchazeč studovat politologii (cca 800 slov) jako povinná příloha přihlášky ke studiu, </w:t>
            </w:r>
          </w:p>
          <w:p w:rsidRPr="009860B5" w:rsidR="009860B5" w:rsidP="2D5397B4" w:rsidRDefault="00F46AEC" w14:paraId="70ECDC96" w14:textId="11DB862F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 w:line="250" w:lineRule="auto"/>
              <w:ind w:left="1183" w:right="38" w:hanging="372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</w:pPr>
            <w:r w:rsidRPr="2D5397B4" w:rsidR="2307F4C9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"/>
              </w:rPr>
              <w:t xml:space="preserve">ústí pohovor, který prověří znalosti uchazeče a jeho zájem o studium v daném studijním programu. V případě domluvy lze tento pohovor realizovat také v online prostředí na zvolené platformě (např. MS Teams, atp.). Na termínu konání ústního pohovoru se přijímací komise s uchazečem domluví s dostatečným časovým předstihem. Pohovor probíhá za účasti nejméně dvou členů přijímací komise. </w:t>
            </w:r>
          </w:p>
          <w:p w:rsidRPr="009860B5" w:rsidR="009860B5" w:rsidP="2D5397B4" w:rsidRDefault="00F46AEC" w14:paraId="56041E41" w14:textId="0E93485B">
            <w:pPr>
              <w:spacing w:before="0" w:beforeAutospacing="off" w:after="0" w:afterAutospacing="off" w:line="250" w:lineRule="auto"/>
              <w:ind w:left="1183" w:right="38" w:hanging="372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</w:pPr>
          </w:p>
          <w:p w:rsidRPr="009860B5" w:rsidR="009860B5" w:rsidP="2D5397B4" w:rsidRDefault="00F46AEC" w14:paraId="21D2BF88" w14:textId="4667D8F9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val="cs-CZ" w:eastAsia="cs-CZ"/>
              </w:rPr>
            </w:pPr>
            <w:r w:rsidRPr="10F750EF" w:rsidR="2307F4C9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"/>
              </w:rPr>
              <w:t xml:space="preserve">K přijetí musí uchazeč splnit tato minimální kritéria: prokázat dostatečnou znalost anglického jazyka a prokázat motivaci ke studiu a připravenost na společenskovědní studium.  </w:t>
            </w:r>
            <w:r>
              <w:br/>
            </w:r>
            <w:r>
              <w:br/>
            </w:r>
            <w:r w:rsidRPr="10F750EF" w:rsidR="5C1DB24E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"/>
              </w:rPr>
              <w:t xml:space="preserve">Přijímací zkouška je hodnocena body. Lze získat max 100 bodů. Z hodnocení eseje lze získat max. 50 bodů, z ústního pohovoru také max. 50 bodů. K ústnímu pohovoru je pozván uchazeč, který v hodnocení eseje získal nejméně </w:t>
            </w:r>
            <w:r w:rsidRPr="10F750EF" w:rsidR="5C1DB24E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"/>
              </w:rPr>
              <w:t>20</w:t>
            </w:r>
            <w:r w:rsidRPr="10F750EF" w:rsidR="5C1DB24E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"/>
              </w:rPr>
              <w:t xml:space="preserve"> bodů. Uchazeč složí přijímací zkoušku úspěšně, pokud získá min. 40 % z 50 bodů v každé části přijímací zkoušky, tj. celkem min 40 % ze 100 bodů</w:t>
            </w:r>
            <w:r w:rsidRPr="10F750EF" w:rsidR="5C1DB24E">
              <w:rPr>
                <w:rFonts w:ascii="inherit" w:hAnsi="inherit" w:eastAsia="inherit" w:cs="inherit"/>
                <w:noProof w:val="0"/>
                <w:color w:val="auto"/>
                <w:sz w:val="22"/>
                <w:szCs w:val="22"/>
                <w:lang w:val="cs"/>
              </w:rPr>
              <w:t>.</w:t>
            </w:r>
            <w:r>
              <w:br/>
            </w:r>
            <w:r>
              <w:br/>
            </w:r>
            <w:r w:rsidRPr="10F750EF" w:rsidR="2307F4C9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"/>
              </w:rPr>
              <w:t>Bakalářský program Political Science lze rovněž studovat ve spolupráci s kolumbijskou univerzitou Pontificia Universidad Javeriana v Cali jakožto tzv. double degree.</w:t>
            </w:r>
          </w:p>
          <w:p w:rsidRPr="009860B5" w:rsidR="009860B5" w:rsidP="2D5397B4" w:rsidRDefault="00F46AEC" w14:paraId="30224429" w14:textId="16715A2C">
            <w:pPr>
              <w:pStyle w:val="Normln"/>
              <w:jc w:val="both"/>
              <w:rPr>
                <w:rFonts w:ascii="inherit" w:hAnsi="inherit" w:eastAsia="Times New Roman" w:cs="Times New Roman"/>
                <w:noProof w:val="0"/>
                <w:color w:val="676767"/>
                <w:sz w:val="16"/>
                <w:szCs w:val="16"/>
                <w:lang w:eastAsia="cs-CZ"/>
              </w:rPr>
            </w:pPr>
          </w:p>
        </w:tc>
      </w:tr>
      <w:tr w:rsidRPr="009860B5" w:rsidR="009860B5" w:rsidTr="6EFD41E3" w14:paraId="1FF6623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165D224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A96B5E" w14:paraId="0DF8E1AD" w14:textId="060A434B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2D5397B4" w:rsidR="3C6F506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100</w:t>
            </w:r>
          </w:p>
        </w:tc>
      </w:tr>
      <w:tr w:rsidRPr="009860B5" w:rsidR="009860B5" w:rsidTr="6EFD41E3" w14:paraId="14AF436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A21E26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561891" w14:paraId="10F7FCF0" w14:textId="7EE9356B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2D5397B4" w:rsidR="5933E58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40</w:t>
            </w:r>
          </w:p>
        </w:tc>
      </w:tr>
      <w:tr w:rsidRPr="009860B5" w:rsidR="009860B5" w:rsidTr="6EFD41E3" w14:paraId="57195F6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2B9937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642448" w14:paraId="445A4BC3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9860B5" w:rsidTr="6EFD41E3" w14:paraId="2773191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36D5A3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642448" w14:paraId="152AD67C" w14:textId="139016DD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2D5397B4" w:rsidR="1F9CB20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9860B5" w:rsidTr="6EFD41E3" w14:paraId="52E4BE8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596F44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642448" w14:paraId="0B262EF9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6EFD41E3" w14:paraId="6313B1A3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C6D2F9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8363D0" w14:paraId="73C837DB" w14:textId="5A8E092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  <w:r w:rsidR="00821B3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</w:p>
        </w:tc>
      </w:tr>
      <w:tr w:rsidRPr="009860B5" w:rsidR="009860B5" w:rsidTr="6EFD41E3" w14:paraId="6A9E93E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592956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642448" w14:paraId="637A6C6E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6EFD41E3" w14:paraId="676DB9F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09CB38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C14" w:rsidP="00E05096" w:rsidRDefault="00E05096" w14:paraId="769FF4C4" w14:textId="58AD88A3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6EFD41E3" w:rsidR="00E050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Sledování denního tisku. </w:t>
            </w:r>
          </w:p>
          <w:p w:rsidR="1A24E220" w:rsidP="6EFD41E3" w:rsidRDefault="1A24E220" w14:paraId="78921D07" w14:textId="41E2D958">
            <w:pPr>
              <w:pStyle w:val="Normln"/>
              <w:spacing w:after="0" w:line="240" w:lineRule="auto"/>
            </w:pPr>
            <w:r w:rsidRPr="6EFD41E3" w:rsidR="1A24E220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18"/>
                <w:szCs w:val="18"/>
                <w:lang w:val="cs-CZ"/>
              </w:rPr>
              <w:t xml:space="preserve">Heywood, A., &amp; Laing, M. 2025. </w:t>
            </w:r>
            <w:r w:rsidRPr="6EFD41E3" w:rsidR="1A24E220">
              <w:rPr>
                <w:rFonts w:ascii="Segoe UI" w:hAnsi="Segoe UI" w:eastAsia="Segoe UI" w:cs="Segoe U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333333"/>
                <w:sz w:val="18"/>
                <w:szCs w:val="18"/>
                <w:lang w:val="cs-CZ"/>
              </w:rPr>
              <w:t>Politics</w:t>
            </w:r>
            <w:r w:rsidRPr="6EFD41E3" w:rsidR="1A24E220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18"/>
                <w:szCs w:val="18"/>
                <w:lang w:val="cs-CZ"/>
              </w:rPr>
              <w:t xml:space="preserve"> (Sixth edition). London: Bloomsbury Academic.</w:t>
            </w:r>
          </w:p>
          <w:p w:rsidR="1A24E220" w:rsidP="6EFD41E3" w:rsidRDefault="1A24E220" w14:paraId="72FBE5CC" w14:textId="4991E7CE">
            <w:pPr>
              <w:pStyle w:val="Normln"/>
              <w:spacing w:after="0" w:line="240" w:lineRule="auto"/>
            </w:pPr>
            <w:r w:rsidRPr="6EFD41E3" w:rsidR="1A24E220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18"/>
                <w:szCs w:val="18"/>
                <w:lang w:val="en-US"/>
              </w:rPr>
              <w:t xml:space="preserve">Heywood, A., &amp; Chin, C. 2023. </w:t>
            </w:r>
            <w:r w:rsidRPr="6EFD41E3" w:rsidR="1A24E220">
              <w:rPr>
                <w:rFonts w:ascii="Segoe UI" w:hAnsi="Segoe UI" w:eastAsia="Segoe UI" w:cs="Segoe U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333333"/>
                <w:sz w:val="18"/>
                <w:szCs w:val="18"/>
                <w:lang w:val="en-US"/>
              </w:rPr>
              <w:t xml:space="preserve">Political </w:t>
            </w:r>
            <w:r w:rsidRPr="6EFD41E3" w:rsidR="1A24E220">
              <w:rPr>
                <w:rFonts w:ascii="Segoe UI" w:hAnsi="Segoe UI" w:eastAsia="Segoe UI" w:cs="Segoe U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333333"/>
                <w:sz w:val="18"/>
                <w:szCs w:val="18"/>
                <w:lang w:val="en-US"/>
              </w:rPr>
              <w:t>theory :</w:t>
            </w:r>
            <w:r w:rsidRPr="6EFD41E3" w:rsidR="1A24E220">
              <w:rPr>
                <w:rFonts w:ascii="Segoe UI" w:hAnsi="Segoe UI" w:eastAsia="Segoe UI" w:cs="Segoe U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333333"/>
                <w:sz w:val="18"/>
                <w:szCs w:val="18"/>
                <w:lang w:val="en-US"/>
              </w:rPr>
              <w:t xml:space="preserve"> an introduction</w:t>
            </w:r>
            <w:r w:rsidRPr="6EFD41E3" w:rsidR="1A24E220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18"/>
                <w:szCs w:val="18"/>
                <w:lang w:val="en-US"/>
              </w:rPr>
              <w:t xml:space="preserve"> (5th edition). London: Bloomsbury Academic.</w:t>
            </w:r>
          </w:p>
          <w:p w:rsidR="1A24E220" w:rsidP="6EFD41E3" w:rsidRDefault="1A24E220" w14:paraId="3ACEDBB4" w14:textId="4B3A09B3">
            <w:pPr>
              <w:pStyle w:val="Normln"/>
              <w:spacing w:after="0" w:line="240" w:lineRule="auto"/>
            </w:pPr>
            <w:r w:rsidRPr="6EFD41E3" w:rsidR="1A24E220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18"/>
                <w:szCs w:val="18"/>
                <w:lang w:val="en-US"/>
              </w:rPr>
              <w:t xml:space="preserve">Heywood, A. (2021). </w:t>
            </w:r>
            <w:r w:rsidRPr="6EFD41E3" w:rsidR="1A24E220">
              <w:rPr>
                <w:rFonts w:ascii="Segoe UI" w:hAnsi="Segoe UI" w:eastAsia="Segoe UI" w:cs="Segoe U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333333"/>
                <w:sz w:val="18"/>
                <w:szCs w:val="18"/>
                <w:lang w:val="en-US"/>
              </w:rPr>
              <w:t xml:space="preserve">Political </w:t>
            </w:r>
            <w:r w:rsidRPr="6EFD41E3" w:rsidR="1A24E220">
              <w:rPr>
                <w:rFonts w:ascii="Segoe UI" w:hAnsi="Segoe UI" w:eastAsia="Segoe UI" w:cs="Segoe U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333333"/>
                <w:sz w:val="18"/>
                <w:szCs w:val="18"/>
                <w:lang w:val="en-US"/>
              </w:rPr>
              <w:t>ideologies :</w:t>
            </w:r>
            <w:r w:rsidRPr="6EFD41E3" w:rsidR="1A24E220">
              <w:rPr>
                <w:rFonts w:ascii="Segoe UI" w:hAnsi="Segoe UI" w:eastAsia="Segoe UI" w:cs="Segoe U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333333"/>
                <w:sz w:val="18"/>
                <w:szCs w:val="18"/>
                <w:lang w:val="en-US"/>
              </w:rPr>
              <w:t xml:space="preserve"> an introduction</w:t>
            </w:r>
            <w:r w:rsidRPr="6EFD41E3" w:rsidR="1A24E220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18"/>
                <w:szCs w:val="18"/>
                <w:lang w:val="en-US"/>
              </w:rPr>
              <w:t xml:space="preserve"> (Seventh edition). London: Red Globe Press.</w:t>
            </w:r>
          </w:p>
          <w:p w:rsidR="0053534D" w:rsidP="00384E9F" w:rsidRDefault="00745EA4" w14:paraId="58EF7076" w14:textId="2EA60CF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Gilbert</w:t>
            </w:r>
            <w:r w:rsidRPr="008F3953" w:rsidR="008F395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M</w:t>
            </w:r>
            <w:r w:rsidRPr="008F3953" w:rsidR="008F395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. 201</w:t>
            </w:r>
            <w:r w:rsidR="005564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2</w:t>
            </w:r>
            <w:r w:rsidRPr="008F3953" w:rsidR="008F395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. </w:t>
            </w:r>
            <w:r w:rsidRPr="005564E6" w:rsidR="005564E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 History of the Twentieth Century: The Concise Edition of the Acclaimed World History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  <w:r w:rsidR="002D31E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New YorK: </w:t>
            </w:r>
            <w:r w:rsidRPr="002D31E3" w:rsidR="002D31E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William Morrow Paperbacks</w:t>
            </w:r>
            <w:r w:rsidR="002D31E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</w:p>
          <w:p w:rsidRPr="009860B5" w:rsidR="00384E9F" w:rsidP="6EFD41E3" w:rsidRDefault="00384E9F" w14:paraId="7D8EB975" w14:textId="46DA9FF8">
            <w:pPr>
              <w:pStyle w:val="Normln"/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6EFD41E3" w:rsidR="211C0DAD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18"/>
                <w:szCs w:val="18"/>
                <w:lang w:val="cs-CZ"/>
              </w:rPr>
              <w:t xml:space="preserve">Brooks, T. 2025 </w:t>
            </w:r>
            <w:r w:rsidRPr="6EFD41E3" w:rsidR="211C0DAD">
              <w:rPr>
                <w:rFonts w:ascii="Segoe UI" w:hAnsi="Segoe UI" w:eastAsia="Segoe UI" w:cs="Segoe U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333333"/>
                <w:sz w:val="18"/>
                <w:szCs w:val="18"/>
                <w:lang w:val="cs-CZ"/>
              </w:rPr>
              <w:t>Political philosophy: the fundamentals</w:t>
            </w:r>
            <w:r w:rsidRPr="6EFD41E3" w:rsidR="211C0DAD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18"/>
                <w:szCs w:val="18"/>
                <w:lang w:val="cs-CZ"/>
              </w:rPr>
              <w:t>. Hoboken: Wiley Blackwell.</w:t>
            </w:r>
          </w:p>
        </w:tc>
      </w:tr>
      <w:tr w:rsidRPr="009860B5" w:rsidR="009860B5" w:rsidTr="6EFD41E3" w14:paraId="790F5A2D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783E0F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261676" w:rsidR="00642448" w:rsidP="00642448" w:rsidRDefault="009860B5" w14:paraId="195A5254" w14:textId="707378C5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24B917BB" w:rsidR="7480FEA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Administrativní dotazy: </w:t>
            </w:r>
            <w:r w:rsidRPr="24B917BB" w:rsidR="2B1BCF24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Vendula Vrabcová, vendula.vrabcova@uhk.cz</w:t>
            </w:r>
            <w:r w:rsidRPr="24B917BB" w:rsidR="7480FEA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tel. </w:t>
            </w:r>
            <w:r w:rsidRPr="24B917BB" w:rsidR="737E988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493331221 případně Lenka Žáková, </w:t>
            </w:r>
            <w:r w:rsidRPr="24B917BB" w:rsidR="737E9883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dominika.karlikova@uhk.cz</w:t>
            </w:r>
            <w:r w:rsidRPr="24B917BB" w:rsidR="0E4604F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, tel. +420 493 331 218</w:t>
            </w:r>
          </w:p>
          <w:p w:rsidR="00642448" w:rsidP="00642448" w:rsidRDefault="00642448" w14:paraId="391517E3" w14:textId="0EADA123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2C67947" w:rsidR="0064244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Dotazy k oboru: </w:t>
            </w:r>
            <w:r w:rsidRPr="02C67947" w:rsidR="0064244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Mgr. </w:t>
            </w:r>
            <w:r w:rsidRPr="02C67947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Milan Hrubeš,</w:t>
            </w:r>
            <w:r w:rsidRPr="02C67947" w:rsidR="0064244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Ph.D., </w:t>
            </w:r>
            <w:r w:rsidRPr="02C67947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milan.hrubes@uhk.cz</w:t>
            </w:r>
            <w:r w:rsidRPr="02C67947" w:rsidR="0064244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, tel. </w:t>
            </w:r>
            <w:r w:rsidRPr="02C67947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493</w:t>
            </w:r>
            <w:r w:rsidRPr="02C67947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 </w:t>
            </w:r>
            <w:r w:rsidRPr="02C67947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331</w:t>
            </w:r>
            <w:r w:rsidRPr="02C67947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02C67947" w:rsidR="00A8742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26</w:t>
            </w:r>
            <w:r w:rsidRPr="02C67947" w:rsidR="4AF1C40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2</w:t>
            </w:r>
          </w:p>
          <w:p w:rsidRPr="009860B5" w:rsidR="009860B5" w:rsidP="3269645C" w:rsidRDefault="002F75ED" w14:paraId="7DF3479D" w14:textId="6E97EC7B">
            <w:pPr>
              <w:pStyle w:val="Normln"/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3269645C" w:rsidR="0ECECBB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https://www.uhk.cz/en/philosophical-faculty/about-faculty/departments/department-of-political-sciences</w:t>
            </w:r>
          </w:p>
        </w:tc>
      </w:tr>
      <w:tr w:rsidRPr="009860B5" w:rsidR="009860B5" w:rsidTr="6EFD41E3" w14:paraId="1BE2FE0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D03723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1750F8" w:rsidRDefault="004E1474" w14:paraId="6840E01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Politologie, Evropská unie, mezinárodní vztahy, politická filozofie, moderní dějiny. </w:t>
            </w:r>
          </w:p>
        </w:tc>
      </w:tr>
    </w:tbl>
    <w:p w:rsidR="3269645C" w:rsidRDefault="3269645C" w14:paraId="2018D85E" w14:textId="4DC07B5B"/>
    <w:p w:rsidR="00680808" w:rsidRDefault="00680808" w14:paraId="316E5C38" w14:textId="77777777"/>
    <w:sectPr w:rsidR="00680808" w:rsidSect="008A61C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107EBD5" w16cid:durableId="2129FE5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5e7791f6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•"/>
      <w:lvlJc w:val="left"/>
      <w:pPr>
        <w:ind w:left="720" w:hanging="360"/>
      </w:pPr>
      <w:rPr>
        <w:rFonts w:hint="default" w:ascii="Comenia Sans" w:hAnsi="Comenia Sans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5d265c4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•"/>
      <w:lvlJc w:val="left"/>
      <w:pPr>
        <w:ind w:left="720" w:hanging="360"/>
      </w:pPr>
      <w:rPr>
        <w:rFonts w:hint="default" w:ascii="Comenia Sans" w:hAnsi="Comenia Sans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222c449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107fb2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nsid w:val="24d1bad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B5"/>
    <w:rsid w:val="000023D9"/>
    <w:rsid w:val="00013F61"/>
    <w:rsid w:val="00022814"/>
    <w:rsid w:val="0009061B"/>
    <w:rsid w:val="000A0C14"/>
    <w:rsid w:val="000A2B5D"/>
    <w:rsid w:val="000E3B74"/>
    <w:rsid w:val="00142FA7"/>
    <w:rsid w:val="00145ED7"/>
    <w:rsid w:val="00174BB8"/>
    <w:rsid w:val="001750F8"/>
    <w:rsid w:val="001B6742"/>
    <w:rsid w:val="001F7289"/>
    <w:rsid w:val="00287C8F"/>
    <w:rsid w:val="002B1713"/>
    <w:rsid w:val="002D31E3"/>
    <w:rsid w:val="002F75ED"/>
    <w:rsid w:val="00384E9F"/>
    <w:rsid w:val="00393FD6"/>
    <w:rsid w:val="003A672E"/>
    <w:rsid w:val="003D448A"/>
    <w:rsid w:val="003F559B"/>
    <w:rsid w:val="00432339"/>
    <w:rsid w:val="00460C3C"/>
    <w:rsid w:val="00486ADE"/>
    <w:rsid w:val="004E1474"/>
    <w:rsid w:val="0053534D"/>
    <w:rsid w:val="005564E6"/>
    <w:rsid w:val="00561891"/>
    <w:rsid w:val="005B1F90"/>
    <w:rsid w:val="005E77A7"/>
    <w:rsid w:val="00613C25"/>
    <w:rsid w:val="00642448"/>
    <w:rsid w:val="00680808"/>
    <w:rsid w:val="006A1461"/>
    <w:rsid w:val="006C7254"/>
    <w:rsid w:val="00745EA4"/>
    <w:rsid w:val="00753936"/>
    <w:rsid w:val="007578D8"/>
    <w:rsid w:val="007D1F12"/>
    <w:rsid w:val="008046FA"/>
    <w:rsid w:val="00810678"/>
    <w:rsid w:val="00821B36"/>
    <w:rsid w:val="00824DF2"/>
    <w:rsid w:val="00826C11"/>
    <w:rsid w:val="008363D0"/>
    <w:rsid w:val="00850EA2"/>
    <w:rsid w:val="00884ED1"/>
    <w:rsid w:val="00897D64"/>
    <w:rsid w:val="008A61CC"/>
    <w:rsid w:val="008B2C7B"/>
    <w:rsid w:val="008E4C5F"/>
    <w:rsid w:val="008F3953"/>
    <w:rsid w:val="0096117E"/>
    <w:rsid w:val="00984441"/>
    <w:rsid w:val="009860B5"/>
    <w:rsid w:val="00992706"/>
    <w:rsid w:val="009B69D8"/>
    <w:rsid w:val="009E4B47"/>
    <w:rsid w:val="00A30F11"/>
    <w:rsid w:val="00A551C5"/>
    <w:rsid w:val="00A87429"/>
    <w:rsid w:val="00A96B5E"/>
    <w:rsid w:val="00AA5694"/>
    <w:rsid w:val="00AB74AF"/>
    <w:rsid w:val="00AC4FC3"/>
    <w:rsid w:val="00B60749"/>
    <w:rsid w:val="00B64DC1"/>
    <w:rsid w:val="00B7436E"/>
    <w:rsid w:val="00C5645E"/>
    <w:rsid w:val="00C76337"/>
    <w:rsid w:val="00C94D2F"/>
    <w:rsid w:val="00CA6078"/>
    <w:rsid w:val="00D302F1"/>
    <w:rsid w:val="00D64810"/>
    <w:rsid w:val="00DD7E61"/>
    <w:rsid w:val="00E05096"/>
    <w:rsid w:val="00E775A3"/>
    <w:rsid w:val="00E818F8"/>
    <w:rsid w:val="00E9578E"/>
    <w:rsid w:val="00EB4B4C"/>
    <w:rsid w:val="00EE4935"/>
    <w:rsid w:val="00F0177B"/>
    <w:rsid w:val="00F03143"/>
    <w:rsid w:val="00F46AEC"/>
    <w:rsid w:val="00F47EB6"/>
    <w:rsid w:val="00F87D61"/>
    <w:rsid w:val="00FA3BF2"/>
    <w:rsid w:val="01F93DD6"/>
    <w:rsid w:val="02AE0AD3"/>
    <w:rsid w:val="02C67947"/>
    <w:rsid w:val="036F78F7"/>
    <w:rsid w:val="0A65704C"/>
    <w:rsid w:val="0DAD9D53"/>
    <w:rsid w:val="0E4604F6"/>
    <w:rsid w:val="0ECECBB6"/>
    <w:rsid w:val="0F7392F2"/>
    <w:rsid w:val="0FED90EF"/>
    <w:rsid w:val="10F750EF"/>
    <w:rsid w:val="127C1F6A"/>
    <w:rsid w:val="16DF02E7"/>
    <w:rsid w:val="176B32C4"/>
    <w:rsid w:val="1A24E220"/>
    <w:rsid w:val="1C07AE44"/>
    <w:rsid w:val="1C287CA7"/>
    <w:rsid w:val="1F9CB202"/>
    <w:rsid w:val="211C0DAD"/>
    <w:rsid w:val="2307F4C9"/>
    <w:rsid w:val="24B917BB"/>
    <w:rsid w:val="2ADB2FB0"/>
    <w:rsid w:val="2B1BCF24"/>
    <w:rsid w:val="2C9E9B4F"/>
    <w:rsid w:val="2D5397B4"/>
    <w:rsid w:val="30AEF751"/>
    <w:rsid w:val="3128F9BC"/>
    <w:rsid w:val="3269645C"/>
    <w:rsid w:val="34A6F3CF"/>
    <w:rsid w:val="34C23D3E"/>
    <w:rsid w:val="34D68107"/>
    <w:rsid w:val="3505A998"/>
    <w:rsid w:val="3642C430"/>
    <w:rsid w:val="37DE9491"/>
    <w:rsid w:val="387B2E6C"/>
    <w:rsid w:val="38DA1239"/>
    <w:rsid w:val="394435DE"/>
    <w:rsid w:val="397A64F2"/>
    <w:rsid w:val="3AF1F30C"/>
    <w:rsid w:val="3B3CF115"/>
    <w:rsid w:val="3C6F5063"/>
    <w:rsid w:val="3FDB9A38"/>
    <w:rsid w:val="460B82D3"/>
    <w:rsid w:val="47FBBBEB"/>
    <w:rsid w:val="48DAE7B7"/>
    <w:rsid w:val="4AF1C408"/>
    <w:rsid w:val="4CF47E17"/>
    <w:rsid w:val="4D2ECCCD"/>
    <w:rsid w:val="5230A69B"/>
    <w:rsid w:val="591D6379"/>
    <w:rsid w:val="5933E582"/>
    <w:rsid w:val="5BEA7E7C"/>
    <w:rsid w:val="5C1DB24E"/>
    <w:rsid w:val="5F5CA5C5"/>
    <w:rsid w:val="615C1AFB"/>
    <w:rsid w:val="648FD368"/>
    <w:rsid w:val="6EFD41E3"/>
    <w:rsid w:val="71E4FC97"/>
    <w:rsid w:val="737E9883"/>
    <w:rsid w:val="7480FEA5"/>
    <w:rsid w:val="74DED2B6"/>
    <w:rsid w:val="7613AAEF"/>
    <w:rsid w:val="79F4466B"/>
    <w:rsid w:val="7B9B2255"/>
    <w:rsid w:val="7D57D2A7"/>
    <w:rsid w:val="7D8871E7"/>
    <w:rsid w:val="7E6634A6"/>
    <w:rsid w:val="7E70B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4CA06"/>
  <w15:docId w15:val="{F698FA9E-5F3B-4559-8D61-846AE403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B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2B171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B17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1713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2B171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1713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2B1713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84ED1"/>
    <w:rPr>
      <w:color w:val="0000FF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5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16/09/relationships/commentsIds" Target="commentsIds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1/relationships/people" Target="people.xml" Id="Re346eeacbd36447f" /><Relationship Type="http://schemas.microsoft.com/office/2011/relationships/commentsExtended" Target="commentsExtended.xml" Id="R6817d2865fc74136" /><Relationship Type="http://schemas.openxmlformats.org/officeDocument/2006/relationships/numbering" Target="numbering.xml" Id="Rfe3f9a11cce04418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Blechová Ivana</dc:creator>
  <lastModifiedBy>Rybenská Klára</lastModifiedBy>
  <revision>64</revision>
  <dcterms:created xsi:type="dcterms:W3CDTF">2015-09-06T21:10:00.0000000Z</dcterms:created>
  <dcterms:modified xsi:type="dcterms:W3CDTF">2025-10-07T17:56:31.1829163Z</dcterms:modified>
</coreProperties>
</file>