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CE" w:rsidRPr="001508CE" w:rsidRDefault="001508CE" w:rsidP="001508CE">
      <w:pPr>
        <w:spacing w:after="60" w:line="240" w:lineRule="auto"/>
        <w:rPr>
          <w:b/>
        </w:rPr>
      </w:pPr>
      <w:r w:rsidRPr="001508CE">
        <w:rPr>
          <w:b/>
        </w:rPr>
        <w:t>Dějiny správy 1850–1993</w:t>
      </w:r>
    </w:p>
    <w:p w:rsidR="001508CE" w:rsidRPr="001508CE" w:rsidRDefault="001508CE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</w:pPr>
      <w:r w:rsidRPr="001508CE">
        <w:t>Zánik poddanství jako předpoklad pro vznik moderní správy a samosprávy</w:t>
      </w:r>
      <w:r>
        <w:t>.</w:t>
      </w:r>
    </w:p>
    <w:p w:rsidR="001508CE" w:rsidRPr="001508CE" w:rsidRDefault="001508CE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</w:pPr>
      <w:r w:rsidRPr="001508CE">
        <w:t xml:space="preserve">Vývoj ústavního systému v přechodném období 1848–1849 a v době </w:t>
      </w:r>
      <w:proofErr w:type="spellStart"/>
      <w:r w:rsidRPr="001508CE">
        <w:t>neoabsolutismu</w:t>
      </w:r>
      <w:proofErr w:type="spellEnd"/>
      <w:r>
        <w:t>.</w:t>
      </w:r>
    </w:p>
    <w:p w:rsidR="001508CE" w:rsidRPr="001508CE" w:rsidRDefault="001508CE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</w:pPr>
      <w:r w:rsidRPr="001508CE">
        <w:t>Únorová ústava, státoprávní systém monarchie a korunních zemí 60. a 70. let 19. století, kuriový volební systém zemských sněmů</w:t>
      </w:r>
      <w:r>
        <w:t>.</w:t>
      </w:r>
    </w:p>
    <w:p w:rsidR="001508CE" w:rsidRPr="001508CE" w:rsidRDefault="001508CE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</w:pPr>
      <w:r w:rsidRPr="001508CE">
        <w:t>Dualismus 1867, jeho příčiny a podoba</w:t>
      </w:r>
      <w:r>
        <w:t>.</w:t>
      </w:r>
    </w:p>
    <w:p w:rsidR="001508CE" w:rsidRPr="001508CE" w:rsidRDefault="001508CE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</w:pPr>
      <w:r w:rsidRPr="001508CE">
        <w:t>Státní správa v před-dualistickém období 1850–186</w:t>
      </w:r>
      <w:r>
        <w:t>7.</w:t>
      </w:r>
    </w:p>
    <w:p w:rsidR="001508CE" w:rsidRPr="001508CE" w:rsidRDefault="001508CE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</w:pPr>
      <w:r w:rsidRPr="001508CE">
        <w:t>Zrod místní a územní samosprávy a její vývoj do r. 1862</w:t>
      </w:r>
      <w:r>
        <w:t>.</w:t>
      </w:r>
    </w:p>
    <w:p w:rsidR="001508CE" w:rsidRPr="001508CE" w:rsidRDefault="001508CE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</w:pPr>
      <w:r w:rsidRPr="001508CE">
        <w:t>Domovské právo a jeho aplikace</w:t>
      </w:r>
      <w:r>
        <w:t>.</w:t>
      </w:r>
    </w:p>
    <w:p w:rsidR="001508CE" w:rsidRPr="001508CE" w:rsidRDefault="001508CE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</w:pPr>
      <w:r w:rsidRPr="001508CE">
        <w:t>Státní správa 1868–1918</w:t>
      </w:r>
      <w:r>
        <w:t>.</w:t>
      </w:r>
    </w:p>
    <w:p w:rsidR="001508CE" w:rsidRPr="001508CE" w:rsidRDefault="001508CE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</w:pPr>
      <w:r w:rsidRPr="001508CE">
        <w:t>Místní a územní samospráva 1862–1918</w:t>
      </w:r>
      <w:r>
        <w:t>.</w:t>
      </w:r>
    </w:p>
    <w:p w:rsidR="001508CE" w:rsidRPr="001508CE" w:rsidRDefault="001508CE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</w:pPr>
      <w:r w:rsidRPr="001508CE">
        <w:t>Ústavní vývoj Rakousko-uherské monarchie 1868–1918</w:t>
      </w:r>
      <w:r>
        <w:t>.</w:t>
      </w:r>
    </w:p>
    <w:p w:rsidR="001508CE" w:rsidRPr="001508CE" w:rsidRDefault="001508CE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</w:pPr>
      <w:r w:rsidRPr="001508CE">
        <w:t>Vznik Československa, předpoklady a průběh</w:t>
      </w:r>
      <w:r>
        <w:t>.</w:t>
      </w:r>
    </w:p>
    <w:p w:rsidR="001508CE" w:rsidRPr="001508CE" w:rsidRDefault="001508CE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</w:pPr>
      <w:r w:rsidRPr="001508CE">
        <w:t>Státoprávní</w:t>
      </w:r>
      <w:r w:rsidR="00A47CFD">
        <w:t xml:space="preserve"> a územní</w:t>
      </w:r>
      <w:r w:rsidRPr="001508CE">
        <w:t xml:space="preserve"> konsolidace republiky 1918–1920</w:t>
      </w:r>
      <w:r>
        <w:t>.</w:t>
      </w:r>
    </w:p>
    <w:p w:rsidR="001508CE" w:rsidRPr="001508CE" w:rsidRDefault="001508CE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</w:pPr>
      <w:r w:rsidRPr="001508CE">
        <w:t>Ústavní systém Československa 1918–1938</w:t>
      </w:r>
      <w:r>
        <w:t>.</w:t>
      </w:r>
    </w:p>
    <w:p w:rsidR="001508CE" w:rsidRPr="001508CE" w:rsidRDefault="001508CE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</w:pPr>
      <w:r w:rsidRPr="001508CE">
        <w:t xml:space="preserve">Vývoj </w:t>
      </w:r>
      <w:r w:rsidR="00A47CFD">
        <w:t>územní</w:t>
      </w:r>
      <w:r w:rsidR="00A47CFD" w:rsidRPr="001508CE">
        <w:t xml:space="preserve"> </w:t>
      </w:r>
      <w:r w:rsidRPr="001508CE">
        <w:t>správy a samosprávy</w:t>
      </w:r>
      <w:r>
        <w:t xml:space="preserve"> v Československu</w:t>
      </w:r>
      <w:r w:rsidRPr="001508CE">
        <w:t xml:space="preserve"> 1918–</w:t>
      </w:r>
      <w:r w:rsidR="00A47CFD" w:rsidRPr="001508CE">
        <w:t>19</w:t>
      </w:r>
      <w:r w:rsidR="00A47CFD">
        <w:t>38</w:t>
      </w:r>
      <w:r>
        <w:t>.</w:t>
      </w:r>
    </w:p>
    <w:p w:rsidR="001508CE" w:rsidRPr="001508CE" w:rsidRDefault="00A47CFD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</w:pPr>
      <w:r>
        <w:t>Druhá republika a její státoprávní a správní vývoj</w:t>
      </w:r>
      <w:r w:rsidR="001508CE" w:rsidRPr="001508CE">
        <w:t xml:space="preserve"> </w:t>
      </w:r>
      <w:r>
        <w:t>1</w:t>
      </w:r>
      <w:r w:rsidR="001508CE" w:rsidRPr="001508CE">
        <w:t>9</w:t>
      </w:r>
      <w:r>
        <w:t>38</w:t>
      </w:r>
      <w:r w:rsidR="001508CE" w:rsidRPr="001508CE">
        <w:t>–1939</w:t>
      </w:r>
      <w:r w:rsidR="001508CE">
        <w:t>.</w:t>
      </w:r>
    </w:p>
    <w:p w:rsidR="001508CE" w:rsidRPr="001508CE" w:rsidRDefault="001508CE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</w:pPr>
      <w:r w:rsidRPr="001508CE">
        <w:t>Hospodářská správa 1849–1948</w:t>
      </w:r>
      <w:r>
        <w:t>.</w:t>
      </w:r>
    </w:p>
    <w:p w:rsidR="001508CE" w:rsidRPr="001508CE" w:rsidRDefault="001508CE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</w:pPr>
      <w:r w:rsidRPr="001508CE">
        <w:t>Správa daní a poplatků 1850–1939</w:t>
      </w:r>
      <w:r>
        <w:t>.</w:t>
      </w:r>
    </w:p>
    <w:p w:rsidR="001508CE" w:rsidRPr="001508CE" w:rsidRDefault="001508CE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</w:pPr>
      <w:r w:rsidRPr="001508CE">
        <w:t>Státoprávní a správní systém Protektorátu Čechy a Morava</w:t>
      </w:r>
      <w:r>
        <w:t>.</w:t>
      </w:r>
    </w:p>
    <w:p w:rsidR="001508CE" w:rsidRPr="001508CE" w:rsidRDefault="001508CE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</w:pPr>
      <w:r w:rsidRPr="001508CE">
        <w:t>Správní systém na územích připojených k Velkoněmecké říši 1938–1945</w:t>
      </w:r>
      <w:r>
        <w:t>.</w:t>
      </w:r>
    </w:p>
    <w:p w:rsidR="001508CE" w:rsidRPr="001508CE" w:rsidRDefault="001508CE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</w:pPr>
      <w:r w:rsidRPr="001508CE">
        <w:t>Ústavní a správní systém Slovenska 1938–1945</w:t>
      </w:r>
      <w:r>
        <w:t>.</w:t>
      </w:r>
    </w:p>
    <w:p w:rsidR="001508CE" w:rsidRPr="001508CE" w:rsidRDefault="001508CE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</w:pPr>
      <w:r w:rsidRPr="001508CE">
        <w:t>Exilová organizace správy 1939–1945</w:t>
      </w:r>
      <w:r>
        <w:t>.</w:t>
      </w:r>
    </w:p>
    <w:p w:rsidR="005354F5" w:rsidRDefault="005354F5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</w:pPr>
      <w:r>
        <w:t>Obnova veřejné správy v Československu po 2. sv. válce, Košický vládní program, odsun Němců.</w:t>
      </w:r>
    </w:p>
    <w:p w:rsidR="001508CE" w:rsidRPr="001508CE" w:rsidRDefault="001508CE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</w:pPr>
      <w:r w:rsidRPr="001508CE">
        <w:t>Ústavní systém asymetrického Československa</w:t>
      </w:r>
      <w:r>
        <w:t>.</w:t>
      </w:r>
    </w:p>
    <w:p w:rsidR="001508CE" w:rsidRPr="001508CE" w:rsidRDefault="001508CE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</w:pPr>
      <w:r w:rsidRPr="001508CE">
        <w:t>Československá federace a její vývoj do r. 199</w:t>
      </w:r>
      <w:r w:rsidR="005C1F3C">
        <w:t>0</w:t>
      </w:r>
      <w:r>
        <w:t>.</w:t>
      </w:r>
    </w:p>
    <w:p w:rsidR="001508CE" w:rsidRDefault="005354F5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</w:pPr>
      <w:r>
        <w:t>Národní výbory</w:t>
      </w:r>
      <w:r w:rsidR="001508CE" w:rsidRPr="001508CE">
        <w:t xml:space="preserve"> a </w:t>
      </w:r>
      <w:r>
        <w:t xml:space="preserve">jejich </w:t>
      </w:r>
      <w:r w:rsidR="001508CE" w:rsidRPr="001508CE">
        <w:t>vývoj v letech 194</w:t>
      </w:r>
      <w:r>
        <w:t>8</w:t>
      </w:r>
      <w:r w:rsidR="001508CE" w:rsidRPr="001508CE">
        <w:t>–1990</w:t>
      </w:r>
      <w:r w:rsidR="001508CE">
        <w:t>.</w:t>
      </w:r>
    </w:p>
    <w:p w:rsidR="005354F5" w:rsidRDefault="005354F5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</w:pPr>
      <w:r>
        <w:t>Česko-slovenské vztahy a jejich vliv na ústavní pořádek a organizaci správy 1918-1992</w:t>
      </w:r>
      <w:r w:rsidR="00A47CFD">
        <w:t>.</w:t>
      </w:r>
    </w:p>
    <w:p w:rsidR="005354F5" w:rsidRDefault="005354F5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</w:pPr>
      <w:r>
        <w:t>Česko-německé vztahy v českých zemích a jejich vliv na ústavní pořádek a organizaci správy 1848-1945</w:t>
      </w:r>
      <w:r w:rsidR="00A47CFD">
        <w:t>.</w:t>
      </w:r>
    </w:p>
    <w:p w:rsidR="005C1F3C" w:rsidRPr="001508CE" w:rsidRDefault="005C1F3C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</w:pPr>
      <w:r>
        <w:t>Ústavní a správní vývoj Československa a České republiky 1990–2002</w:t>
      </w:r>
      <w:r w:rsidR="0083183B">
        <w:t>.</w:t>
      </w:r>
    </w:p>
    <w:p w:rsidR="001508CE" w:rsidRPr="00B17D01" w:rsidRDefault="001508CE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  <w:rPr>
          <w:color w:val="1F4E79" w:themeColor="accent1" w:themeShade="80"/>
        </w:rPr>
      </w:pPr>
      <w:r w:rsidRPr="00B17D01">
        <w:rPr>
          <w:color w:val="1F4E79" w:themeColor="accent1" w:themeShade="80"/>
        </w:rPr>
        <w:t xml:space="preserve">Vznik a vývoj </w:t>
      </w:r>
      <w:r w:rsidR="00B17D01">
        <w:rPr>
          <w:color w:val="1F4E79" w:themeColor="accent1" w:themeShade="80"/>
        </w:rPr>
        <w:t xml:space="preserve">státní </w:t>
      </w:r>
      <w:r w:rsidRPr="00B17D01">
        <w:rPr>
          <w:color w:val="1F4E79" w:themeColor="accent1" w:themeShade="80"/>
        </w:rPr>
        <w:t>policie</w:t>
      </w:r>
      <w:r w:rsidR="00B17D01">
        <w:rPr>
          <w:color w:val="1F4E79" w:themeColor="accent1" w:themeShade="80"/>
        </w:rPr>
        <w:t xml:space="preserve"> </w:t>
      </w:r>
      <w:r w:rsidRPr="00B17D01">
        <w:rPr>
          <w:color w:val="1F4E79" w:themeColor="accent1" w:themeShade="80"/>
        </w:rPr>
        <w:t>v monarchii do r. 1918.</w:t>
      </w:r>
    </w:p>
    <w:p w:rsidR="001508CE" w:rsidRPr="00B17D01" w:rsidRDefault="001508CE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  <w:rPr>
          <w:color w:val="1F4E79" w:themeColor="accent1" w:themeShade="80"/>
        </w:rPr>
      </w:pPr>
      <w:r w:rsidRPr="00B17D01">
        <w:rPr>
          <w:color w:val="1F4E79" w:themeColor="accent1" w:themeShade="80"/>
        </w:rPr>
        <w:t>Vznik a vývoj četnictva v monarchii do r. 1918.</w:t>
      </w:r>
    </w:p>
    <w:p w:rsidR="001508CE" w:rsidRPr="00B17D01" w:rsidRDefault="001508CE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  <w:rPr>
          <w:color w:val="1F4E79" w:themeColor="accent1" w:themeShade="80"/>
        </w:rPr>
      </w:pPr>
      <w:r w:rsidRPr="00B17D01">
        <w:rPr>
          <w:color w:val="1F4E79" w:themeColor="accent1" w:themeShade="80"/>
        </w:rPr>
        <w:t xml:space="preserve">Ochrana státní hranice </w:t>
      </w:r>
      <w:r w:rsidR="00B17D01">
        <w:rPr>
          <w:color w:val="1F4E79" w:themeColor="accent1" w:themeShade="80"/>
        </w:rPr>
        <w:t xml:space="preserve">a finanční bezpečnostní orgány </w:t>
      </w:r>
      <w:r w:rsidRPr="00B17D01">
        <w:rPr>
          <w:color w:val="1F4E79" w:themeColor="accent1" w:themeShade="80"/>
        </w:rPr>
        <w:t>v monarchii do r. 1918.</w:t>
      </w:r>
    </w:p>
    <w:p w:rsidR="001508CE" w:rsidRPr="00B17D01" w:rsidRDefault="001508CE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  <w:rPr>
          <w:color w:val="1F4E79" w:themeColor="accent1" w:themeShade="80"/>
        </w:rPr>
      </w:pPr>
      <w:r w:rsidRPr="00B17D01">
        <w:rPr>
          <w:color w:val="1F4E79" w:themeColor="accent1" w:themeShade="80"/>
        </w:rPr>
        <w:t>Československé četnictvo – struktura, kompetence.</w:t>
      </w:r>
    </w:p>
    <w:p w:rsidR="001508CE" w:rsidRPr="00B17D01" w:rsidRDefault="001508CE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  <w:rPr>
          <w:color w:val="1F4E79" w:themeColor="accent1" w:themeShade="80"/>
        </w:rPr>
      </w:pPr>
      <w:r w:rsidRPr="00B17D01">
        <w:rPr>
          <w:color w:val="1F4E79" w:themeColor="accent1" w:themeShade="80"/>
        </w:rPr>
        <w:t>Státní policie v Československu 1918–1939.</w:t>
      </w:r>
    </w:p>
    <w:p w:rsidR="001508CE" w:rsidRPr="00B17D01" w:rsidRDefault="001508CE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  <w:rPr>
          <w:color w:val="1F4E79" w:themeColor="accent1" w:themeShade="80"/>
        </w:rPr>
      </w:pPr>
      <w:r w:rsidRPr="00B17D01">
        <w:rPr>
          <w:color w:val="1F4E79" w:themeColor="accent1" w:themeShade="80"/>
        </w:rPr>
        <w:t>Obecní policie v monarchii a Československu.</w:t>
      </w:r>
    </w:p>
    <w:p w:rsidR="001508CE" w:rsidRPr="00B17D01" w:rsidRDefault="001508CE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  <w:rPr>
          <w:color w:val="1F4E79" w:themeColor="accent1" w:themeShade="80"/>
        </w:rPr>
      </w:pPr>
      <w:r w:rsidRPr="00B17D01">
        <w:rPr>
          <w:color w:val="1F4E79" w:themeColor="accent1" w:themeShade="80"/>
        </w:rPr>
        <w:t>Organizace a bezpečnost dopravy v Československu 1918–1939.</w:t>
      </w:r>
    </w:p>
    <w:p w:rsidR="001508CE" w:rsidRPr="00B17D01" w:rsidRDefault="005C1F3C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  <w:rPr>
          <w:color w:val="1F4E79" w:themeColor="accent1" w:themeShade="80"/>
        </w:rPr>
      </w:pPr>
      <w:r>
        <w:rPr>
          <w:color w:val="1F4E79" w:themeColor="accent1" w:themeShade="80"/>
        </w:rPr>
        <w:t>Stráž obrany státu, o</w:t>
      </w:r>
      <w:r w:rsidR="005354F5" w:rsidRPr="00B17D01">
        <w:rPr>
          <w:color w:val="1F4E79" w:themeColor="accent1" w:themeShade="80"/>
        </w:rPr>
        <w:t>chrana státní hranice</w:t>
      </w:r>
      <w:r>
        <w:rPr>
          <w:color w:val="1F4E79" w:themeColor="accent1" w:themeShade="80"/>
        </w:rPr>
        <w:t xml:space="preserve"> a</w:t>
      </w:r>
      <w:r w:rsidR="005354F5" w:rsidRPr="00B17D01">
        <w:rPr>
          <w:color w:val="1F4E79" w:themeColor="accent1" w:themeShade="80"/>
        </w:rPr>
        <w:t xml:space="preserve"> finanční </w:t>
      </w:r>
      <w:r w:rsidR="00B17D01">
        <w:rPr>
          <w:color w:val="1F4E79" w:themeColor="accent1" w:themeShade="80"/>
        </w:rPr>
        <w:t xml:space="preserve">bezpečnostní </w:t>
      </w:r>
      <w:r w:rsidR="005354F5" w:rsidRPr="00B17D01">
        <w:rPr>
          <w:color w:val="1F4E79" w:themeColor="accent1" w:themeShade="80"/>
        </w:rPr>
        <w:t>orgány</w:t>
      </w:r>
      <w:r>
        <w:rPr>
          <w:color w:val="1F4E79" w:themeColor="accent1" w:themeShade="80"/>
        </w:rPr>
        <w:t xml:space="preserve"> </w:t>
      </w:r>
      <w:r w:rsidR="005354F5" w:rsidRPr="00B17D01">
        <w:rPr>
          <w:color w:val="1F4E79" w:themeColor="accent1" w:themeShade="80"/>
        </w:rPr>
        <w:t>1918–1949</w:t>
      </w:r>
      <w:r w:rsidR="001508CE" w:rsidRPr="00B17D01">
        <w:rPr>
          <w:color w:val="1F4E79" w:themeColor="accent1" w:themeShade="80"/>
        </w:rPr>
        <w:t>.</w:t>
      </w:r>
    </w:p>
    <w:p w:rsidR="001508CE" w:rsidRPr="00B17D01" w:rsidRDefault="001508CE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  <w:rPr>
          <w:color w:val="1F4E79" w:themeColor="accent1" w:themeShade="80"/>
        </w:rPr>
      </w:pPr>
      <w:r w:rsidRPr="00B17D01">
        <w:rPr>
          <w:color w:val="1F4E79" w:themeColor="accent1" w:themeShade="80"/>
        </w:rPr>
        <w:t>Struktura bezpečnostních sborů v Protektorátu Čechy a Morava, vč. okupačních sil.</w:t>
      </w:r>
    </w:p>
    <w:p w:rsidR="001508CE" w:rsidRPr="00B17D01" w:rsidRDefault="001508CE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  <w:rPr>
          <w:color w:val="1F4E79" w:themeColor="accent1" w:themeShade="80"/>
        </w:rPr>
      </w:pPr>
      <w:r w:rsidRPr="00B17D01">
        <w:rPr>
          <w:color w:val="1F4E79" w:themeColor="accent1" w:themeShade="80"/>
        </w:rPr>
        <w:t>Sbor</w:t>
      </w:r>
      <w:bookmarkStart w:id="0" w:name="_GoBack"/>
      <w:bookmarkEnd w:id="0"/>
      <w:r w:rsidRPr="00B17D01">
        <w:rPr>
          <w:color w:val="1F4E79" w:themeColor="accent1" w:themeShade="80"/>
        </w:rPr>
        <w:t xml:space="preserve"> národní bezpečnosti.</w:t>
      </w:r>
    </w:p>
    <w:p w:rsidR="001508CE" w:rsidRPr="00B17D01" w:rsidRDefault="001508CE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  <w:rPr>
          <w:color w:val="1F4E79" w:themeColor="accent1" w:themeShade="80"/>
        </w:rPr>
      </w:pPr>
      <w:r w:rsidRPr="00B17D01">
        <w:rPr>
          <w:color w:val="1F4E79" w:themeColor="accent1" w:themeShade="80"/>
        </w:rPr>
        <w:t>Zpravodajské služby v Československu 1945–1990.</w:t>
      </w:r>
    </w:p>
    <w:p w:rsidR="002F7DFA" w:rsidRPr="00B17D01" w:rsidRDefault="001508CE" w:rsidP="001508CE">
      <w:pPr>
        <w:pStyle w:val="Odstavecseseznamem"/>
        <w:numPr>
          <w:ilvl w:val="0"/>
          <w:numId w:val="2"/>
        </w:numPr>
        <w:spacing w:after="60" w:line="240" w:lineRule="auto"/>
        <w:contextualSpacing w:val="0"/>
        <w:rPr>
          <w:color w:val="1F4E79" w:themeColor="accent1" w:themeShade="80"/>
        </w:rPr>
      </w:pPr>
      <w:r w:rsidRPr="00B17D01">
        <w:rPr>
          <w:color w:val="1F4E79" w:themeColor="accent1" w:themeShade="80"/>
        </w:rPr>
        <w:t>Ochrana státní hranice v Československu 1945–1990.</w:t>
      </w:r>
    </w:p>
    <w:sectPr w:rsidR="002F7DFA" w:rsidRPr="00B17D01" w:rsidSect="001508C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652"/>
    <w:multiLevelType w:val="hybridMultilevel"/>
    <w:tmpl w:val="EB86F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558D8"/>
    <w:multiLevelType w:val="hybridMultilevel"/>
    <w:tmpl w:val="A2A4F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CE"/>
    <w:rsid w:val="001508CE"/>
    <w:rsid w:val="002F7DFA"/>
    <w:rsid w:val="005354F5"/>
    <w:rsid w:val="005C0AAC"/>
    <w:rsid w:val="005C1F3C"/>
    <w:rsid w:val="0083183B"/>
    <w:rsid w:val="00A47CFD"/>
    <w:rsid w:val="00B17D01"/>
    <w:rsid w:val="00DA3B55"/>
    <w:rsid w:val="00D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17426-3F02-4C8B-87E1-C17EBF81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08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32DDF-23AE-4982-94DA-D904A5A4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Grulich</dc:creator>
  <cp:keywords/>
  <dc:description/>
  <cp:lastModifiedBy>Grulich Petr</cp:lastModifiedBy>
  <cp:revision>2</cp:revision>
  <dcterms:created xsi:type="dcterms:W3CDTF">2017-04-02T14:25:00Z</dcterms:created>
  <dcterms:modified xsi:type="dcterms:W3CDTF">2017-04-02T14:25:00Z</dcterms:modified>
</cp:coreProperties>
</file>