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56"/>
      </w:tblGrid>
      <w:tr w:rsidR="009860B5" w:rsidRPr="00EA53A2" w:rsidTr="009860B5">
        <w:tc>
          <w:tcPr>
            <w:tcW w:w="0" w:type="auto"/>
            <w:gridSpan w:val="2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Filozofická fakulta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Název studijního oboru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Zkratka studijního oboru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F6737D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BSP18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Jazyk výuky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český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Studijní program - číslo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F6737D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F6737D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B0923P240001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Studijní program - název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156D21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Sociální práce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Forma studia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7B009C" w:rsidP="007B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kombinovaná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Typ studijního oboru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EA53A2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bakalářský</w:t>
            </w:r>
            <w:r w:rsidR="00892707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</w:t>
            </w:r>
            <w:r w:rsidR="00892707" w:rsidRPr="00E529CC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(profesně zaměřený)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Standardní doba studia v letech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EA53A2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3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Jednooborové studium / dvouoborové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Jednooborové studium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Profil uchazeče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EA53A2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hAnsi="Times New Roman" w:cs="Times New Roman"/>
                <w:sz w:val="20"/>
                <w:szCs w:val="20"/>
              </w:rPr>
              <w:t>Ukončené středoškolské vzdělání s maturitou, orientace v sociální problematice.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Profil absolventa a jeho uplatnění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9CC" w:rsidRPr="00E529CC" w:rsidRDefault="00E529CC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9CC">
              <w:rPr>
                <w:rFonts w:ascii="Times New Roman" w:hAnsi="Times New Roman" w:cs="Times New Roman"/>
                <w:sz w:val="20"/>
                <w:szCs w:val="20"/>
              </w:rPr>
              <w:t>Na začátku studia studující získávají teoretické znalosti v sociologických, filozofických a psychologických předmětech, které se ve vyšších ročnících učí aplikovat do praxe. Studijní program je od 2. roku studia strukturován do specializací, které studující vol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E529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3755C" w:rsidRPr="008444BB">
              <w:rPr>
                <w:rFonts w:ascii="Times New Roman" w:hAnsi="Times New Roman" w:cs="Times New Roman"/>
                <w:sz w:val="20"/>
              </w:rPr>
              <w:t>Počet studentů pro jednotlivé specializace není předem stanovován</w:t>
            </w:r>
            <w:r w:rsidR="0033755C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E529CC">
              <w:rPr>
                <w:rFonts w:ascii="Times New Roman" w:hAnsi="Times New Roman" w:cs="Times New Roman"/>
                <w:sz w:val="20"/>
                <w:szCs w:val="20"/>
              </w:rPr>
              <w:t>Jedná se o specializace:</w:t>
            </w:r>
          </w:p>
          <w:p w:rsidR="00E529CC" w:rsidRPr="00E529CC" w:rsidRDefault="0033755C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29CC" w:rsidRPr="00E529CC">
              <w:rPr>
                <w:rFonts w:ascii="Times New Roman" w:hAnsi="Times New Roman" w:cs="Times New Roman"/>
                <w:sz w:val="20"/>
                <w:szCs w:val="20"/>
              </w:rPr>
              <w:t xml:space="preserve"> Sociální práce v preventivních službách</w:t>
            </w:r>
          </w:p>
          <w:p w:rsidR="00E529CC" w:rsidRPr="00E529CC" w:rsidRDefault="0033755C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29CC" w:rsidRPr="00E529CC">
              <w:rPr>
                <w:rFonts w:ascii="Times New Roman" w:hAnsi="Times New Roman" w:cs="Times New Roman"/>
                <w:sz w:val="20"/>
                <w:szCs w:val="20"/>
              </w:rPr>
              <w:t xml:space="preserve"> Sociální práce s osobami se sníženou soběstačností</w:t>
            </w:r>
          </w:p>
          <w:p w:rsidR="00E529CC" w:rsidRDefault="0033755C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29CC" w:rsidRPr="00E529CC">
              <w:rPr>
                <w:rFonts w:ascii="Times New Roman" w:hAnsi="Times New Roman" w:cs="Times New Roman"/>
                <w:sz w:val="20"/>
                <w:szCs w:val="20"/>
              </w:rPr>
              <w:t xml:space="preserve"> Sociální práce ve veřejné správě</w:t>
            </w:r>
          </w:p>
          <w:p w:rsidR="00CA0413" w:rsidRDefault="00CA0413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413" w:rsidRPr="00CA0413" w:rsidRDefault="00CA0413" w:rsidP="00CA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413">
              <w:rPr>
                <w:rFonts w:ascii="Times New Roman" w:hAnsi="Times New Roman" w:cs="Times New Roman"/>
                <w:sz w:val="20"/>
                <w:szCs w:val="20"/>
              </w:rPr>
              <w:t>Studijní specializaci si studenti prezenčního studia volí v termínu, určeném výnosem děkana FF UHK č. 14/2019 (</w:t>
            </w:r>
            <w:hyperlink r:id="rId7" w:history="1">
              <w:r w:rsidRPr="00CA0413">
                <w:rPr>
                  <w:rStyle w:val="Hypertextovodkaz"/>
                  <w:rFonts w:ascii="Times New Roman" w:hAnsi="Times New Roman"/>
                  <w:color w:val="0070C0"/>
                  <w:sz w:val="20"/>
                  <w:szCs w:val="20"/>
                </w:rPr>
                <w:t>https:/www.uhk.cz/file/edee/filozoficka-fakulta/ff/uredni-deska/ridici-akty/vynosy-dekana/2019/14-vynos_pravidla-pro-vyber-specializace-pro-akademicky-rok-2019_2020.pdf</w:t>
              </w:r>
            </w:hyperlink>
            <w:r w:rsidRPr="00CA0413">
              <w:rPr>
                <w:rFonts w:ascii="Times New Roman" w:hAnsi="Times New Roman" w:cs="Times New Roman"/>
                <w:sz w:val="20"/>
                <w:szCs w:val="20"/>
              </w:rPr>
              <w:t>) předepsaným způsobem. Výběr specializace je plně v kompetenci každého studenta, nejsou dána žádná kapacitní omezení. Každý student tedy bude mít možnost pokračovat ve studiu ve zvolené specializaci. V dalším průběhu studia již není možné zvolenou specializaci měnit.</w:t>
            </w:r>
          </w:p>
          <w:p w:rsidR="00E529CC" w:rsidRDefault="00E529CC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707" w:rsidRPr="00E529CC" w:rsidRDefault="00892707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9CC">
              <w:rPr>
                <w:rFonts w:ascii="Times New Roman" w:hAnsi="Times New Roman" w:cs="Times New Roman"/>
                <w:sz w:val="20"/>
                <w:szCs w:val="20"/>
              </w:rPr>
              <w:t>Profily dle specializací:</w:t>
            </w:r>
          </w:p>
          <w:p w:rsidR="00892707" w:rsidRPr="00E529CC" w:rsidRDefault="00892707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29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Specializace: Sociální práce v preventivních službách</w:t>
            </w:r>
          </w:p>
          <w:p w:rsidR="00892707" w:rsidRPr="00E529CC" w:rsidRDefault="00892707" w:rsidP="00E529CC">
            <w:pPr>
              <w:pStyle w:val="Textpoznpodarou"/>
              <w:jc w:val="both"/>
              <w:rPr>
                <w:b/>
              </w:rPr>
            </w:pPr>
            <w:r w:rsidRPr="00E529CC">
              <w:t>Absolventky a absolventi</w:t>
            </w:r>
            <w:r w:rsidRPr="00E529CC">
              <w:rPr>
                <w:b/>
              </w:rPr>
              <w:t xml:space="preserve"> </w:t>
            </w:r>
            <w:r w:rsidRPr="00E529CC">
              <w:t xml:space="preserve">získají znalosti a dovednosti pro sociální práci v preventivních službách sociální práce. Budou znát teoretické aspekty preventivní sociální práce, systém sociální ochrany pro tyto skupiny a budou disponovat dovednostmi přístupů a metod pro práci s nimi. Dosažení definovaných znalostí a dovedností zajišťují povinné předměty profilujícího základu - Přístupy v soc. práci s neorganizovanou mládeží, Systém školství a základy pedagogiky pro sociální práci, Sociální práce s lidmi s handicapem, Sociální práce se seniory, Krizová intervence, Terénní sociální práce, Úvod do religionistiky, Sociální služby v kontextu sociální práce). </w:t>
            </w:r>
          </w:p>
          <w:p w:rsidR="00892707" w:rsidRPr="00E529CC" w:rsidRDefault="00892707" w:rsidP="00E529CC">
            <w:pPr>
              <w:pStyle w:val="Textpoznpodarou"/>
              <w:jc w:val="both"/>
              <w:rPr>
                <w:b/>
              </w:rPr>
            </w:pPr>
          </w:p>
          <w:p w:rsidR="00892707" w:rsidRPr="00E529CC" w:rsidRDefault="00892707" w:rsidP="00E52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29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Specializace: Sociální práce s osobami se sníženou soběstačností</w:t>
            </w:r>
          </w:p>
          <w:p w:rsidR="00892707" w:rsidRPr="00E529CC" w:rsidRDefault="00892707" w:rsidP="00E529CC">
            <w:pPr>
              <w:pStyle w:val="Textpoznpodarou"/>
              <w:jc w:val="both"/>
            </w:pPr>
            <w:r w:rsidRPr="00E529CC">
              <w:t>Absolventky a absolventi</w:t>
            </w:r>
            <w:r w:rsidRPr="00E529CC">
              <w:rPr>
                <w:b/>
              </w:rPr>
              <w:t xml:space="preserve"> </w:t>
            </w:r>
            <w:r w:rsidRPr="00E529CC">
              <w:t xml:space="preserve">získají znalosti a dovednosti v oblastech podpory a péče o osoby se sníženou soběstačností, takže se budou orientovat v systémech služeb sociální práce zejména pro lidi, kteří se </w:t>
            </w:r>
            <w:r w:rsidRPr="00E529CC">
              <w:lastRenderedPageBreak/>
              <w:t xml:space="preserve">ocitli v nepříznivé sociální situaci v důsledku fyzického, smyslového, psychického, mentálního či chronického onemocnění nebo v oblasti služeb sociální práce pro seniorky a seniory v nepříznivé sociální situaci. Dále budou znát možné bariéry na straně těchto lidé, které jim mohou blokovat jejich sociální fungování, stejně jako obdobná rizika vyplývající z jejich sociálního prostředí na úrovni mikro, </w:t>
            </w:r>
            <w:proofErr w:type="spellStart"/>
            <w:r w:rsidRPr="00E529CC">
              <w:t>mezo</w:t>
            </w:r>
            <w:proofErr w:type="spellEnd"/>
            <w:r w:rsidRPr="00E529CC">
              <w:t xml:space="preserve"> a </w:t>
            </w:r>
            <w:proofErr w:type="spellStart"/>
            <w:r w:rsidRPr="00E529CC">
              <w:t>makrosystému</w:t>
            </w:r>
            <w:proofErr w:type="spellEnd"/>
            <w:r w:rsidRPr="00E529CC">
              <w:t>, stejně jako metodické nástroje, které mohou využít pro snižování či odstraňování těchto bariér. Dosažení definovaných znalostí a dovedností zajišťují povinné předměty profilujícího základu - Speciální pedagogika, Psychologie zdraví a nemoci, Sociální práce s lidmi s handicapem, Sociální práce se seniory, Sociální služby v kontextu sociální práce, Ošetřovatelství, Domácí péče, Ergoterapie, Zdravotnické právo a legislativa)</w:t>
            </w:r>
          </w:p>
          <w:p w:rsidR="00892707" w:rsidRPr="00E529CC" w:rsidRDefault="00892707" w:rsidP="00E529CC">
            <w:pPr>
              <w:pStyle w:val="Textpoznpodarou"/>
              <w:jc w:val="both"/>
              <w:rPr>
                <w:b/>
              </w:rPr>
            </w:pPr>
          </w:p>
          <w:p w:rsidR="00892707" w:rsidRPr="00E529CC" w:rsidRDefault="00892707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29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Specializace: Sociální práce ve veřejné správě</w:t>
            </w:r>
          </w:p>
          <w:p w:rsidR="00892707" w:rsidRDefault="00892707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9CC">
              <w:rPr>
                <w:rFonts w:ascii="Times New Roman" w:hAnsi="Times New Roman" w:cs="Times New Roman"/>
                <w:sz w:val="20"/>
                <w:szCs w:val="20"/>
              </w:rPr>
              <w:t>Absolventky a absolventi</w:t>
            </w:r>
            <w:r w:rsidRPr="00E52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29CC">
              <w:rPr>
                <w:rFonts w:ascii="Times New Roman" w:hAnsi="Times New Roman" w:cs="Times New Roman"/>
                <w:sz w:val="20"/>
                <w:szCs w:val="20"/>
              </w:rPr>
              <w:t>získají v návaznosti na poznatky ze sociální politiky znalosti o struktuře, fungování a etických aspektech sociální práce ve veřejné správě, budou znát souvislost mezi demografickým vývojem české společnosti a sociálně politickými opatřeními (zejména v oblasti zaměstnanosti), budou mít základní informace o specifikách řízení ve veřejné správě a budou znát právní předpisy upravující činnost veřejné správy, stejně jako budou disponovat dovedností s těmito právními předpisy prakticky pracovat. Dosažení definovaných znalostí a dovedností zajišťují povinné předměty profilujícího základu - Demografie, Politika zaměstnanosti, Veřejná správa, Základy správního práva, Finanční a daňové právo, Organizace a řízení, Zdravotnické právo a legislativa, Systém školství a Základy pedagogiky pro sociální práci.</w:t>
            </w:r>
          </w:p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lastRenderedPageBreak/>
              <w:t>Možnost změny studijního oboru v průběhu studia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EA53A2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ne</w:t>
            </w: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Možnost navazujícího studia na UHK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EA53A2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ano</w:t>
            </w: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Rozsah a obsah přijímací zkoušky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D3" w:rsidRPr="009D7ED3" w:rsidRDefault="009D7ED3" w:rsidP="009D7E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Přijímací řízení proběhne bez fyzické účasti uchazeče. Přijímací komise při posouzení uchazečů zohlední: </w:t>
            </w:r>
          </w:p>
          <w:p w:rsidR="009D7ED3" w:rsidRPr="009D7ED3" w:rsidRDefault="009D7ED3" w:rsidP="009D7ED3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Doložení prospěchu v předchozím stupni studia – maturitní vysvědčení (v případě, že nemá uchazeč složenu maturitní zkoušku ke dni 12. 6. 2020, poslouží jako doložení prospěchu vysvědčení za 1. a 2. pololetí 3. ročníku, a za 1. pololetí posledního ročníku středoškolského studia).</w:t>
            </w:r>
          </w:p>
          <w:p w:rsidR="009D7ED3" w:rsidRPr="009D7ED3" w:rsidRDefault="009D7ED3" w:rsidP="009D7ED3">
            <w:pPr>
              <w:pStyle w:val="Odstavecseseznamem"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Maximální možný počet bodů je 35 podle následujícího klíče:</w:t>
            </w:r>
          </w:p>
          <w:p w:rsidR="009D7ED3" w:rsidRPr="009D7ED3" w:rsidRDefault="009D7ED3" w:rsidP="009D7ED3">
            <w:pPr>
              <w:pStyle w:val="xmsonormal"/>
              <w:spacing w:before="0" w:beforeAutospacing="0" w:after="0" w:afterAutospacing="0"/>
              <w:ind w:left="708"/>
              <w:jc w:val="both"/>
              <w:rPr>
                <w:sz w:val="20"/>
                <w:szCs w:val="20"/>
              </w:rPr>
            </w:pPr>
            <w:r w:rsidRPr="009D7ED3">
              <w:rPr>
                <w:sz w:val="20"/>
                <w:szCs w:val="20"/>
              </w:rPr>
              <w:t>Vážený průměr do 1,2 včetně …35 bodů</w:t>
            </w:r>
          </w:p>
          <w:p w:rsidR="009D7ED3" w:rsidRPr="009D7ED3" w:rsidRDefault="009D7ED3" w:rsidP="009D7ED3">
            <w:pPr>
              <w:pStyle w:val="xmsonormal"/>
              <w:spacing w:before="0" w:beforeAutospacing="0" w:after="0" w:afterAutospacing="0"/>
              <w:ind w:left="708"/>
              <w:jc w:val="both"/>
              <w:rPr>
                <w:sz w:val="20"/>
                <w:szCs w:val="20"/>
              </w:rPr>
            </w:pPr>
            <w:r w:rsidRPr="009D7ED3">
              <w:rPr>
                <w:sz w:val="20"/>
                <w:szCs w:val="20"/>
              </w:rPr>
              <w:t>Průměr nad 1,2 avšak do 1,5 včetně … 30 bodů</w:t>
            </w:r>
          </w:p>
          <w:p w:rsidR="009D7ED3" w:rsidRPr="009D7ED3" w:rsidRDefault="009D7ED3" w:rsidP="009D7ED3">
            <w:pPr>
              <w:pStyle w:val="xmsonormal"/>
              <w:spacing w:before="0" w:beforeAutospacing="0" w:after="0" w:afterAutospacing="0"/>
              <w:ind w:left="708"/>
              <w:jc w:val="both"/>
              <w:rPr>
                <w:sz w:val="20"/>
                <w:szCs w:val="20"/>
              </w:rPr>
            </w:pPr>
            <w:r w:rsidRPr="009D7ED3">
              <w:rPr>
                <w:sz w:val="20"/>
                <w:szCs w:val="20"/>
              </w:rPr>
              <w:t>Průměr nad 1,5 avšak do 2,0 včetně … 20 bodů</w:t>
            </w:r>
          </w:p>
          <w:p w:rsidR="009D7ED3" w:rsidRPr="009D7ED3" w:rsidRDefault="009D7ED3" w:rsidP="009D7ED3">
            <w:pPr>
              <w:pStyle w:val="xmsonormal"/>
              <w:spacing w:before="0" w:beforeAutospacing="0" w:after="0" w:afterAutospacing="0"/>
              <w:ind w:left="708"/>
              <w:jc w:val="both"/>
              <w:rPr>
                <w:sz w:val="20"/>
                <w:szCs w:val="20"/>
              </w:rPr>
            </w:pPr>
            <w:r w:rsidRPr="009D7ED3">
              <w:rPr>
                <w:sz w:val="20"/>
                <w:szCs w:val="20"/>
              </w:rPr>
              <w:t>Průměr nad 2,0 avšak do 3,0 včetně … 10 bodů</w:t>
            </w:r>
          </w:p>
          <w:p w:rsidR="009D7ED3" w:rsidRPr="009D7ED3" w:rsidRDefault="009D7ED3" w:rsidP="009D7ED3">
            <w:pPr>
              <w:pStyle w:val="Odstavecseseznamem"/>
              <w:spacing w:line="240" w:lineRule="auto"/>
              <w:ind w:left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Průměr nad 3,0 … 5 bodů.</w:t>
            </w:r>
          </w:p>
          <w:p w:rsidR="009D7ED3" w:rsidRPr="009D7ED3" w:rsidRDefault="009D7ED3" w:rsidP="009D7ED3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Motivační dopis v rozsahu 100 slov se zadáním „</w:t>
            </w:r>
            <w:r w:rsidRPr="009D7ED3">
              <w:rPr>
                <w:rFonts w:ascii="Times New Roman" w:hAnsi="Times New Roman"/>
                <w:i/>
                <w:sz w:val="20"/>
                <w:szCs w:val="20"/>
              </w:rPr>
              <w:t>Proč bychom měli přijmout právě Vás?</w:t>
            </w:r>
            <w:r w:rsidRPr="009D7ED3">
              <w:rPr>
                <w:rFonts w:ascii="Times New Roman" w:hAnsi="Times New Roman"/>
                <w:sz w:val="20"/>
                <w:szCs w:val="20"/>
              </w:rPr>
              <w:t>“ Hodnotí se motivace uchazeče ke studiu sociální práce a celková jazyková a stylistická úroveň dopisu.</w:t>
            </w:r>
          </w:p>
          <w:p w:rsidR="009D7ED3" w:rsidRPr="009D7ED3" w:rsidRDefault="009D7ED3" w:rsidP="009D7ED3">
            <w:pPr>
              <w:pStyle w:val="Odstavecseseznamem"/>
              <w:spacing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Maximální možný počet bodů je 35.</w:t>
            </w:r>
          </w:p>
          <w:p w:rsidR="009D7ED3" w:rsidRPr="009D7ED3" w:rsidRDefault="009D7ED3" w:rsidP="009D7ED3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Doložení praxe v oboru a dobrovolnické činnosti související s oborem.</w:t>
            </w:r>
          </w:p>
          <w:p w:rsidR="009D7ED3" w:rsidRPr="009D7ED3" w:rsidRDefault="009D7ED3" w:rsidP="009D7ED3">
            <w:pPr>
              <w:pStyle w:val="Odstavecseseznamem"/>
              <w:spacing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Maximální možný počet bodů je 20.</w:t>
            </w:r>
          </w:p>
          <w:p w:rsidR="009D7ED3" w:rsidRPr="009D7ED3" w:rsidRDefault="009D7ED3" w:rsidP="009D7ED3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 xml:space="preserve">Budou zohledněny aktivity v rámci tzv. </w:t>
            </w:r>
            <w:proofErr w:type="spellStart"/>
            <w:r w:rsidRPr="009D7ED3">
              <w:rPr>
                <w:rFonts w:ascii="Times New Roman" w:hAnsi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/>
                <w:sz w:val="20"/>
                <w:szCs w:val="20"/>
              </w:rPr>
              <w:t xml:space="preserve"> indexu (informace o </w:t>
            </w:r>
            <w:proofErr w:type="spellStart"/>
            <w:r w:rsidRPr="009D7ED3">
              <w:rPr>
                <w:rFonts w:ascii="Times New Roman" w:hAnsi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/>
                <w:sz w:val="20"/>
                <w:szCs w:val="20"/>
              </w:rPr>
              <w:t xml:space="preserve"> indexu jsou uvedeny na webu Filozofické fakulty UHK: </w:t>
            </w:r>
            <w:hyperlink r:id="rId8" w:history="1">
              <w:r w:rsidRPr="009D7ED3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https://www.uhk.cz/cs/filozoficka-fakulta/prijimaci-zkousky/ffree-index-ff-uhk</w:t>
              </w:r>
            </w:hyperlink>
            <w:r w:rsidRPr="009D7ED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9D7ED3" w:rsidRPr="009D7ED3" w:rsidRDefault="009D7ED3" w:rsidP="009D7ED3">
            <w:pPr>
              <w:pStyle w:val="Odstavecseseznamem"/>
              <w:spacing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Maximální možný počet bodů je 10.</w:t>
            </w:r>
          </w:p>
          <w:p w:rsidR="009D7ED3" w:rsidRPr="009D7ED3" w:rsidRDefault="009D7ED3" w:rsidP="009D7ED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Maximální počet bodů, které uchazeč může v rámci přijímacího řízení získat, je 100. Pro úspěšné složení přijímací zkoušky je třeba dosáhnout minimálně 40 bodů.</w:t>
            </w:r>
          </w:p>
          <w:p w:rsidR="009D7ED3" w:rsidRPr="009D7ED3" w:rsidRDefault="009D7ED3" w:rsidP="009D7ED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Podklady (vysvědčení, motivační dopis, doklady o praxi, případně dobrovolnické činnosti) uchazeč doručí nejpozději do 12. 6. 2020 prostřednictvím formuláře, který je k dispozici na webu FF UHK v termínu od 8. 6. 2020 do 12. 6. 2020.</w:t>
            </w:r>
          </w:p>
          <w:p w:rsidR="009D7ED3" w:rsidRPr="009D7ED3" w:rsidRDefault="009D7ED3" w:rsidP="009D7ED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Studijní program je od 2. roku studia strukturován do specializací, z nichž si studující volí právě jednu. Maximální počet studentů pro jednotlivé specializace není předem stanoven. Jedná se o specializace:</w:t>
            </w:r>
          </w:p>
          <w:p w:rsidR="009D7ED3" w:rsidRPr="009D7ED3" w:rsidRDefault="009D7ED3" w:rsidP="009D7ED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- Sociální práce v preventivních službách (prezenční a kombinovaná forma)</w:t>
            </w:r>
          </w:p>
          <w:p w:rsidR="009D7ED3" w:rsidRPr="009D7ED3" w:rsidRDefault="009D7ED3" w:rsidP="009D7ED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- Sociální práce ve veřejné správě (prezenční a kombinovaná forma)</w:t>
            </w:r>
          </w:p>
          <w:p w:rsidR="009D7ED3" w:rsidRPr="009D7ED3" w:rsidRDefault="009D7ED3" w:rsidP="009D7ED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- Sociální práce s osobami se sníženou soběstačností (pouze kombinovaná forma)</w:t>
            </w:r>
          </w:p>
          <w:p w:rsidR="00B14526" w:rsidRDefault="009D7ED3" w:rsidP="009D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Studijní specializaci si studenti volí v prvním ročníku studia v termínu, určeném příslušným děkana FF UHK, a to předepsaným způsobem. Výběr specializace je plně v kompetenci každého studenta, nejsou dána žádná kapacitní omezení. V dalším průběhu studia již není možné zvolenou specializaci měnit.</w:t>
            </w:r>
          </w:p>
          <w:p w:rsidR="009D7ED3" w:rsidRPr="009D7ED3" w:rsidRDefault="009D7ED3" w:rsidP="009D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0B5" w:rsidRPr="009D7ED3" w:rsidRDefault="00C50C97" w:rsidP="009D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Přijímací řízení je hodnoceno body. Maximální počet bodů, které uchazeč může v rámci přijímacího řízení získat, je 100. Z toho maximálně 90 bodů lze získat z přijímací zkoušky, jejíž podoba je </w:t>
            </w:r>
            <w:r w:rsidR="002D0C41"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výše </w:t>
            </w: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definována a maximálně 10 bodů lze získat za participaci na fakultních aktivitách ve stávajícím akademickém roce v rámci tzv.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indexu. Tyto body může získat pouze uchazeč, který se do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 řádně zaregistruje prostřednictvím webového portálu </w:t>
            </w:r>
            <w:hyperlink r:id="rId9" w:history="1">
              <w:r w:rsidR="009D7ED3" w:rsidRPr="009D7ED3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https://www.uhk.cz/cs/filozoficka-fakulta/prijimaci-zkousky/ffree-index-ff-uhk</w:t>
              </w:r>
            </w:hyperlink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. Registrace je možná průběžně, nejpozději však 15. května 2020. Kredity se studentovi udělují pouze za období, v němž byl v rámci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 zaregistrován. Zohledněny budou kredity získané v období od zveřejnění těchto pravidel až do 15. května 2020. Počet přidělených bodů v rámci přijímacího řízení se bude odvíjet od počtu získaných kreditů v rámci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indexu. Počet kreditů získaných v rámci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 se tedy nerovná počtu získaných bodů v přijímacím řízení. Je stanovena převodní škála, která se odvíjí od maximálního počtu nasbíraných kreditů. Uchazeč s maximálním počtem nasbíraných kreditů získává z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 10 bodů, uchazeč, který získal alespoň jeden kredit, získává 1 bod. Další body jsou rozpočítány dle rozložení kreditových zisků uchazečů. Informace k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 jsou k dispozici na webové stránce </w:t>
            </w:r>
            <w:hyperlink r:id="rId10" w:history="1">
              <w:r w:rsidR="009D7ED3" w:rsidRPr="009D7ED3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https://www.uhk.cz/cs/filozoficka-fakulta/prijimaci-zkousky/ffree-index-ff-uhk</w:t>
              </w:r>
            </w:hyperlink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, kde jsou v kalendáři akcí průběžně zveřejňovány i veškeré aktivity, jež jsou do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 zahrnuty. Je-li stanovena možnost prominutí přijímací zkoušky, je nutné, aby uchazeč písemně ve stanoveném termínu zaslal žádost o prominutí přijímací zkoušky a doložil, že splňuje podmínky stanovené pro prominutí přijímací zkoušky. Pokud uchazeč ve stanoveném termínu o prominutí přijímací zkoušky nepožádá nebo jej řádně nedoloží, ztrácí nárok na přijetí bez přijímací zkoušky. V případě, že uchazeč splňuje stanovené podmínky a v požadovaném termínu nárok na prominutí přijímací zkoušky doloží, získává 90 bodů. Další body takový uchazeč může získat za aktivity v rámci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indexu. Body za participaci na fakultních aktivitách v rámci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 budou připočteny pouze uchazečům, kteří se dostaví na přijímací zkoušku, a uchazečům, kterým bude přijímací zkouška prominuta. Uchazeči, kteří se na přijímací zkoušku nedostaví (a nebyla jim prominuta), budou vyhodnoceni jako absentující a nezískají v rámci přijímacího řízení ani body za participaci na fakultních aktivitách.</w:t>
            </w: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Maximální možné celkové hodnocení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33755C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1</w:t>
            </w:r>
            <w:r w:rsidR="00EA53A2"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00</w:t>
            </w: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Minimální celková hranice úspěšnosti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33755C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4</w:t>
            </w:r>
            <w:r w:rsidR="00EA53A2"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0</w:t>
            </w: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Písemná část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A44326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A</w:t>
            </w:r>
            <w:r w:rsidR="00EA53A2"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no</w:t>
            </w: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Ústní část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A44326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</w:t>
            </w:r>
            <w:r w:rsidR="00EA53A2"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e</w:t>
            </w: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Talentová část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A44326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Ne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Možnost prominutí zkoušky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A44326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Ne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Náhradní termín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A44326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Ne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Doporučená literatura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334D5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ANZENBACHER, A. Úvod do filosofie. Praha: Portál, 2010. </w:t>
            </w:r>
            <w:r w:rsidR="00EA53A2" w:rsidRPr="00EA53A2">
              <w:rPr>
                <w:rFonts w:ascii="Times New Roman" w:hAnsi="Times New Roman" w:cs="Times New Roman"/>
                <w:sz w:val="20"/>
                <w:szCs w:val="20"/>
              </w:rPr>
              <w:t>GILLERNOVÁ, I., BURIÁNEK, J. Základy psychologie, sociologie: základy společenských věd pro střední školy. Praha: Fortuna, 2001. HELUS, Z. Psychologie pro stř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ední školy. Praha: Fortuna, 2003</w:t>
            </w:r>
            <w:r w:rsidR="00EA53A2" w:rsidRPr="00EA53A2">
              <w:rPr>
                <w:rFonts w:ascii="Times New Roman" w:hAnsi="Times New Roman" w:cs="Times New Roman"/>
                <w:sz w:val="20"/>
                <w:szCs w:val="20"/>
              </w:rPr>
              <w:t xml:space="preserve">. HLADÍK, J. Společenské vědy v kostce pro střední školy. Havlíčkův Brod: Fragment, 1999. KELLER, J. Úvod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sociologie. Praha: SLON, 2010</w:t>
            </w:r>
            <w:r w:rsidR="00EA53A2" w:rsidRPr="00EA53A2">
              <w:rPr>
                <w:rFonts w:ascii="Times New Roman" w:hAnsi="Times New Roman" w:cs="Times New Roman"/>
                <w:sz w:val="20"/>
                <w:szCs w:val="20"/>
              </w:rPr>
              <w:t xml:space="preserve">. MATOUŠEK, O. Základy sociální práce. Praha: Portál, 2001.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RYSKA, R. Právo pro střední školy. Praha: Fortuna, 2008. </w:t>
            </w:r>
            <w:r w:rsidR="00EA53A2" w:rsidRPr="00EA53A2">
              <w:rPr>
                <w:rFonts w:ascii="Times New Roman" w:hAnsi="Times New Roman" w:cs="Times New Roman"/>
                <w:sz w:val="20"/>
                <w:szCs w:val="20"/>
              </w:rPr>
              <w:t>SOCHOROVÁ, M., HLADÍK, J. Testy z humanitních věd (v kostce pro střední školy): literatura, český jazyk, dějepis, společenské vědy. Havlíčkův Brod: Fragment, 1999.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Další informace poskytne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EA53A2" w:rsidP="00334D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hAnsi="Times New Roman" w:cs="Times New Roman"/>
                <w:sz w:val="20"/>
                <w:szCs w:val="20"/>
              </w:rPr>
              <w:t>Administrati</w:t>
            </w:r>
            <w:bookmarkStart w:id="0" w:name="_GoBack"/>
            <w:bookmarkEnd w:id="0"/>
            <w:r w:rsidRPr="00EA53A2">
              <w:rPr>
                <w:rFonts w:ascii="Times New Roman" w:hAnsi="Times New Roman" w:cs="Times New Roman"/>
                <w:sz w:val="20"/>
                <w:szCs w:val="20"/>
              </w:rPr>
              <w:t>vní d</w:t>
            </w:r>
            <w:r w:rsidR="00892707">
              <w:rPr>
                <w:rFonts w:ascii="Times New Roman" w:hAnsi="Times New Roman" w:cs="Times New Roman"/>
                <w:sz w:val="20"/>
                <w:szCs w:val="20"/>
              </w:rPr>
              <w:t>otazy: Mgr. Kateřina Loskotová</w:t>
            </w:r>
            <w:r w:rsidRPr="00EA53A2">
              <w:rPr>
                <w:rFonts w:ascii="Times New Roman" w:hAnsi="Times New Roman" w:cs="Times New Roman"/>
                <w:sz w:val="20"/>
                <w:szCs w:val="20"/>
              </w:rPr>
              <w:t>, katerina.</w:t>
            </w:r>
            <w:r w:rsidR="00334D55">
              <w:rPr>
                <w:rFonts w:ascii="Times New Roman" w:hAnsi="Times New Roman" w:cs="Times New Roman"/>
                <w:sz w:val="20"/>
                <w:szCs w:val="20"/>
              </w:rPr>
              <w:t>loskotova</w:t>
            </w:r>
            <w:r w:rsidRPr="00EA53A2">
              <w:rPr>
                <w:rFonts w:ascii="Times New Roman" w:hAnsi="Times New Roman" w:cs="Times New Roman"/>
                <w:sz w:val="20"/>
                <w:szCs w:val="20"/>
              </w:rPr>
              <w:t>@uhk.cz, tel. 493 331 515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EA53A2" w:rsidP="0033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sociální práce</w:t>
            </w:r>
            <w:r w:rsidR="00334D55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, veřejná správa, preventivní služby, sociální služby, sociální pomoc</w:t>
            </w:r>
          </w:p>
        </w:tc>
      </w:tr>
      <w:tr w:rsidR="009860B5" w:rsidRPr="00EA53A2" w:rsidTr="009860B5">
        <w:tc>
          <w:tcPr>
            <w:tcW w:w="0" w:type="auto"/>
            <w:gridSpan w:val="2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4882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6"/>
            </w:tblGrid>
            <w:tr w:rsidR="009860B5" w:rsidRPr="00EA53A2" w:rsidTr="00145ED7">
              <w:trPr>
                <w:trHeight w:val="61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0" w:type="dxa"/>
                    <w:left w:w="75" w:type="dxa"/>
                    <w:bottom w:w="300" w:type="dxa"/>
                    <w:right w:w="75" w:type="dxa"/>
                  </w:tcMar>
                  <w:hideMark/>
                </w:tcPr>
                <w:p w:rsidR="009860B5" w:rsidRPr="00EA53A2" w:rsidRDefault="009860B5" w:rsidP="00986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</w:p>
        </w:tc>
      </w:tr>
    </w:tbl>
    <w:p w:rsidR="00680808" w:rsidRPr="00EA53A2" w:rsidRDefault="00680808" w:rsidP="00892707">
      <w:pPr>
        <w:rPr>
          <w:rFonts w:ascii="Times New Roman" w:hAnsi="Times New Roman" w:cs="Times New Roman"/>
          <w:sz w:val="20"/>
          <w:szCs w:val="20"/>
        </w:rPr>
      </w:pPr>
    </w:p>
    <w:sectPr w:rsidR="00680808" w:rsidRPr="00EA53A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11" w:rsidRDefault="00526F11" w:rsidP="00592047">
      <w:pPr>
        <w:spacing w:after="0" w:line="240" w:lineRule="auto"/>
      </w:pPr>
      <w:r>
        <w:separator/>
      </w:r>
    </w:p>
  </w:endnote>
  <w:endnote w:type="continuationSeparator" w:id="0">
    <w:p w:rsidR="00526F11" w:rsidRDefault="00526F11" w:rsidP="0059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11" w:rsidRDefault="00526F11" w:rsidP="00592047">
      <w:pPr>
        <w:spacing w:after="0" w:line="240" w:lineRule="auto"/>
      </w:pPr>
      <w:r>
        <w:separator/>
      </w:r>
    </w:p>
  </w:footnote>
  <w:footnote w:type="continuationSeparator" w:id="0">
    <w:p w:rsidR="00526F11" w:rsidRDefault="00526F11" w:rsidP="0059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047" w:rsidRDefault="00592047">
    <w:pPr>
      <w:pStyle w:val="Zhlav"/>
    </w:pPr>
    <w:r>
      <w:t xml:space="preserve">Příloha </w:t>
    </w:r>
    <w:proofErr w:type="gramStart"/>
    <w:r>
      <w:t>č. 3 Výnosu</w:t>
    </w:r>
    <w:proofErr w:type="gramEnd"/>
    <w:r>
      <w:t xml:space="preserve"> děkana 17/2020</w:t>
    </w:r>
  </w:p>
  <w:p w:rsidR="00592047" w:rsidRDefault="005920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A8A"/>
    <w:multiLevelType w:val="hybridMultilevel"/>
    <w:tmpl w:val="EBFCA1D2"/>
    <w:lvl w:ilvl="0" w:tplc="0A605F3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78FB"/>
    <w:multiLevelType w:val="hybridMultilevel"/>
    <w:tmpl w:val="5680E1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B5"/>
    <w:rsid w:val="00145ED7"/>
    <w:rsid w:val="00156D21"/>
    <w:rsid w:val="001B16EE"/>
    <w:rsid w:val="001B6F96"/>
    <w:rsid w:val="002D0C41"/>
    <w:rsid w:val="00334D55"/>
    <w:rsid w:val="0033755C"/>
    <w:rsid w:val="00416094"/>
    <w:rsid w:val="004569D6"/>
    <w:rsid w:val="00526F11"/>
    <w:rsid w:val="00592047"/>
    <w:rsid w:val="005A7E9A"/>
    <w:rsid w:val="00680808"/>
    <w:rsid w:val="00753936"/>
    <w:rsid w:val="007B009C"/>
    <w:rsid w:val="007F64EC"/>
    <w:rsid w:val="00892707"/>
    <w:rsid w:val="009860B5"/>
    <w:rsid w:val="009A47F6"/>
    <w:rsid w:val="009D7ED3"/>
    <w:rsid w:val="00A44326"/>
    <w:rsid w:val="00B14526"/>
    <w:rsid w:val="00C15A50"/>
    <w:rsid w:val="00C406C5"/>
    <w:rsid w:val="00C50C97"/>
    <w:rsid w:val="00CA0413"/>
    <w:rsid w:val="00DC5399"/>
    <w:rsid w:val="00E529CC"/>
    <w:rsid w:val="00EA53A2"/>
    <w:rsid w:val="00F6737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A406"/>
  <w15:docId w15:val="{2057E48F-429B-4C84-8C7E-D73944E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89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7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33755C"/>
    <w:rPr>
      <w:rFonts w:cs="Times New Roman"/>
      <w:color w:val="0000FF"/>
      <w:u w:val="single"/>
    </w:rPr>
  </w:style>
  <w:style w:type="paragraph" w:customStyle="1" w:styleId="xmsonormal">
    <w:name w:val="x_msonormal"/>
    <w:basedOn w:val="Normln"/>
    <w:rsid w:val="002D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7ED3"/>
    <w:pPr>
      <w:spacing w:after="120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92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047"/>
  </w:style>
  <w:style w:type="paragraph" w:styleId="Zpat">
    <w:name w:val="footer"/>
    <w:basedOn w:val="Normln"/>
    <w:link w:val="ZpatChar"/>
    <w:uiPriority w:val="99"/>
    <w:unhideWhenUsed/>
    <w:rsid w:val="00592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81633">
                                          <w:marLeft w:val="900"/>
                                          <w:marRight w:val="525"/>
                                          <w:marTop w:val="225"/>
                                          <w:marBottom w:val="15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63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8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157964">
                                                              <w:marLeft w:val="0"/>
                                                              <w:marRight w:val="0"/>
                                                              <w:marTop w:val="28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13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7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43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821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18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001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306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55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96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84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04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2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173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k.cz/cs/filozoficka-fakulta/prijimaci-zkousky/ffree-index-ff-uh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hk.cz/file/edee/filozoficka-fakulta/ff/uredni-deska/ridici-akty/vynosy-dekana/2019/14-vynos_pravidla-pro-vyber-specializace-pro-akademicky-rok-2019_202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hk.cz/cs/filozoficka-fakulta/prijimaci-zkousky/ffree-index-ff-u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hk.cz/cs/filozoficka-fakulta/prijimaci-zkousky/ffree-index-ff-uh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Blechová Ivana</dc:creator>
  <cp:lastModifiedBy>Zemánková Monika</cp:lastModifiedBy>
  <cp:revision>2</cp:revision>
  <dcterms:created xsi:type="dcterms:W3CDTF">2020-05-13T13:59:00Z</dcterms:created>
  <dcterms:modified xsi:type="dcterms:W3CDTF">2020-05-13T13:59:00Z</dcterms:modified>
</cp:coreProperties>
</file>